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7434">
      <w:pPr>
        <w:widowControl w:val="0"/>
        <w:jc w:val="center"/>
        <w:rPr>
          <w:rFonts w:ascii="Arial" w:hAnsi="Arial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</w:rPr>
        <w:t>UNITED STATES DISTRICT COURT</w:t>
      </w:r>
    </w:p>
    <w:p w:rsidR="00000000" w:rsidRDefault="00D37434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DISTRICT OF COLORADO</w:t>
      </w:r>
    </w:p>
    <w:p w:rsidR="00000000" w:rsidRDefault="00D37434">
      <w:pPr>
        <w:widowControl w:val="0"/>
        <w:rPr>
          <w:rFonts w:ascii="Arial" w:hAnsi="Arial"/>
          <w:b/>
        </w:rPr>
      </w:pPr>
    </w:p>
    <w:p w:rsidR="00000000" w:rsidRDefault="00D37434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Instructions Regarding</w:t>
      </w:r>
    </w:p>
    <w:p w:rsidR="00000000" w:rsidRDefault="00D37434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Notice of Availability of a United States Magistrate Judge</w:t>
      </w:r>
    </w:p>
    <w:p w:rsidR="00000000" w:rsidRDefault="00D37434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to Exercise Jurisdiction Pursuant to 28 U.S.C. § 636(c), Fed. R. Civ. P. 73,</w:t>
      </w:r>
    </w:p>
    <w:p w:rsidR="00000000" w:rsidRDefault="00D37434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and D.C.COLO.LCi</w:t>
      </w:r>
      <w:r>
        <w:rPr>
          <w:rFonts w:ascii="Arial" w:hAnsi="Arial"/>
          <w:b/>
        </w:rPr>
        <w:t>vR 72.2</w:t>
      </w:r>
    </w:p>
    <w:p w:rsidR="00000000" w:rsidRDefault="00D37434">
      <w:pPr>
        <w:widowControl w:val="0"/>
        <w:rPr>
          <w:rFonts w:ascii="Arial" w:hAnsi="Arial"/>
          <w:b/>
        </w:rPr>
      </w:pPr>
    </w:p>
    <w:p w:rsidR="00000000" w:rsidRDefault="00D37434">
      <w:pPr>
        <w:widowControl w:val="0"/>
        <w:ind w:left="720"/>
        <w:rPr>
          <w:rFonts w:ascii="Arial" w:hAnsi="Arial"/>
        </w:rPr>
      </w:pPr>
      <w:r>
        <w:rPr>
          <w:rFonts w:ascii="Arial" w:hAnsi="Arial"/>
        </w:rPr>
        <w:t>Attached please find a copy of the United States District Court for the District of</w:t>
      </w: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>Colorado Local Rules of Practice 72.2 (D.C.COLO.LCivR 72.2), a Notice of Availability</w:t>
      </w: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>of a Magistrate Judge to Exercise Jurisdiction and Consent to the Exercise of</w:t>
      </w:r>
      <w:r>
        <w:rPr>
          <w:rFonts w:ascii="Arial" w:hAnsi="Arial"/>
        </w:rPr>
        <w:t xml:space="preserve"> Jurisdiction by a United States Magistrate Judge, and a proposed Order of Reference.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Pursuant to D.C.COLO.LCivR 72.2, it is the responsibility of the filing party to</w:t>
      </w: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serve a copy of these instructions, D.C.COLO.LCivR 72.2, and the attached forms on the </w:t>
      </w:r>
      <w:r>
        <w:rPr>
          <w:rFonts w:ascii="Arial" w:hAnsi="Arial"/>
        </w:rPr>
        <w:t>opposing party or parties and to file proof of such service with the court. The filing party is the plaintiff when an action is commenced by the filing of a complaint, the defendant when an action is commenced by the filing of a notice of removal, the thir</w:t>
      </w:r>
      <w:r>
        <w:rPr>
          <w:rFonts w:ascii="Arial" w:hAnsi="Arial"/>
        </w:rPr>
        <w:t>d-party plaintiff when a third-party complaint is filed, or any party that adds an additional party to the civil action.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If ALL parties have consented to this exercise of jurisdiction please file the Notice and Consent and proposed Order of Reference. In</w:t>
      </w:r>
      <w:r>
        <w:rPr>
          <w:rFonts w:ascii="Arial" w:hAnsi="Arial"/>
        </w:rPr>
        <w:t xml:space="preserve"> accordance with D.C.COLO.LCivR 72.2(d), the Notice and Consent must be filed no later than 14 days after the discovery cut-off. In cases not requiring discovery, the parties shall have 40 days from the filing of the last responsive pleading to file their </w:t>
      </w:r>
      <w:r>
        <w:rPr>
          <w:rFonts w:ascii="Arial" w:hAnsi="Arial"/>
        </w:rPr>
        <w:t>unanimous consent.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If any additional parties are added after the entry of an Order of Reference to the</w:t>
      </w: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>magistrate judge under 28 U.S.C. § 636(c), the party adding an additional party or parties MUST file with the clerk a document titled “Notice,” which i</w:t>
      </w:r>
      <w:r>
        <w:rPr>
          <w:rFonts w:ascii="Arial" w:hAnsi="Arial"/>
        </w:rPr>
        <w:t>nforms the clerk that an additional party has or parties have been added. The notice MUST provide the added party’s address, or parties’ addresses, so that the clerk can serve a copy of these instructions, D.C.COLO.LCivR 72.2, and attached forms upon the n</w:t>
      </w:r>
      <w:r>
        <w:rPr>
          <w:rFonts w:ascii="Arial" w:hAnsi="Arial"/>
        </w:rPr>
        <w:t>ewly added party or parties in accordance with D.C.COLO.LCivR 72.2(f). This mailing will be completed promptly.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You are encouraged to serve the summons and complaint promptly so that the</w:t>
      </w: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>added party or parties will understand the reason for being sent th</w:t>
      </w:r>
      <w:r>
        <w:rPr>
          <w:rFonts w:ascii="Arial" w:hAnsi="Arial"/>
        </w:rPr>
        <w:t>e attached forms from the Clerk’s Office.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  <w:sz w:val="16"/>
        </w:rPr>
      </w:pPr>
    </w:p>
    <w:p w:rsidR="00000000" w:rsidRDefault="00D37434">
      <w:pPr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(06/15)</w:t>
      </w:r>
    </w:p>
    <w:p w:rsidR="00000000" w:rsidRDefault="00D37434">
      <w:pPr>
        <w:widowControl w:val="0"/>
        <w:rPr>
          <w:rFonts w:ascii="Arial" w:hAnsi="Arial"/>
          <w:b/>
        </w:rPr>
      </w:pPr>
      <w:r>
        <w:rPr>
          <w:rFonts w:ascii="Arial" w:hAnsi="Arial"/>
          <w:sz w:val="16"/>
        </w:rPr>
        <w:br w:type="page"/>
      </w:r>
      <w:r>
        <w:rPr>
          <w:rFonts w:ascii="Arial" w:hAnsi="Arial"/>
          <w:b/>
        </w:rPr>
        <w:lastRenderedPageBreak/>
        <w:t>D.C.COLO.LCivR 72.2</w:t>
      </w:r>
    </w:p>
    <w:p w:rsidR="00000000" w:rsidRDefault="00D37434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>CONSENT JURISDICTION OF A MAGISTRATE JUDGE</w:t>
      </w:r>
    </w:p>
    <w:p w:rsidR="00000000" w:rsidRDefault="00D37434">
      <w:pPr>
        <w:widowControl w:val="0"/>
        <w:rPr>
          <w:rFonts w:ascii="Arial" w:hAnsi="Arial"/>
          <w:b/>
        </w:rPr>
      </w:pPr>
    </w:p>
    <w:p w:rsidR="00000000" w:rsidRDefault="00D37434">
      <w:pPr>
        <w:widowControl w:val="0"/>
        <w:ind w:left="720" w:hanging="720"/>
        <w:rPr>
          <w:rFonts w:ascii="Arial" w:hAnsi="Arial"/>
        </w:rPr>
      </w:pPr>
      <w:r>
        <w:rPr>
          <w:rFonts w:ascii="Arial" w:hAnsi="Arial"/>
          <w:b/>
        </w:rPr>
        <w:t xml:space="preserve">(a)     </w:t>
      </w:r>
      <w:r>
        <w:rPr>
          <w:rFonts w:ascii="Arial" w:hAnsi="Arial"/>
          <w:b/>
        </w:rPr>
        <w:tab/>
        <w:t xml:space="preserve">Designation. </w:t>
      </w:r>
      <w:r>
        <w:rPr>
          <w:rFonts w:ascii="Arial" w:hAnsi="Arial"/>
        </w:rPr>
        <w:t>Under 28 U.S.C. § 636(c)(1) and subject to this rule, a full-time magistrate judge is designated specially to cond</w:t>
      </w:r>
      <w:r>
        <w:rPr>
          <w:rFonts w:ascii="Arial" w:hAnsi="Arial"/>
        </w:rPr>
        <w:t>uct any or all proceedings in any jury or nonjury civil action  and order the entry of judgment in the case.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ind w:left="720" w:hanging="720"/>
        <w:rPr>
          <w:rFonts w:ascii="Arial" w:hAnsi="Arial"/>
        </w:rPr>
      </w:pPr>
      <w:r>
        <w:rPr>
          <w:rFonts w:ascii="Arial" w:hAnsi="Arial"/>
          <w:b/>
        </w:rPr>
        <w:t>(b)</w:t>
      </w:r>
      <w:r>
        <w:rPr>
          <w:rFonts w:ascii="Arial" w:hAnsi="Arial"/>
          <w:b/>
        </w:rPr>
        <w:tab/>
        <w:t>Prohibition.</w:t>
      </w:r>
      <w:r>
        <w:rPr>
          <w:rFonts w:ascii="Arial" w:hAnsi="Arial"/>
        </w:rPr>
        <w:t xml:space="preserve"> No judicial officer, court official, or court employee may attempt to influence the granting or withholding of consent to the ref</w:t>
      </w:r>
      <w:r>
        <w:rPr>
          <w:rFonts w:ascii="Arial" w:hAnsi="Arial"/>
        </w:rPr>
        <w:t>erence of any civil matter to a magistrate judge. The form of notice of right to consent to disposition by a magistrate judge shall  make reference to the prohibition and shall identify the rights being waived.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ind w:left="720" w:hanging="720"/>
        <w:rPr>
          <w:rFonts w:ascii="Arial" w:hAnsi="Arial"/>
        </w:rPr>
      </w:pPr>
      <w:r>
        <w:rPr>
          <w:rFonts w:ascii="Arial" w:hAnsi="Arial"/>
          <w:b/>
        </w:rPr>
        <w:t>(c)</w:t>
      </w:r>
      <w:r>
        <w:rPr>
          <w:rFonts w:ascii="Arial" w:hAnsi="Arial"/>
          <w:b/>
        </w:rPr>
        <w:tab/>
        <w:t xml:space="preserve">Notice. </w:t>
      </w:r>
      <w:r>
        <w:rPr>
          <w:rFonts w:ascii="Arial" w:hAnsi="Arial"/>
        </w:rPr>
        <w:t>On the filing of any civil actio</w:t>
      </w:r>
      <w:r>
        <w:rPr>
          <w:rFonts w:ascii="Arial" w:hAnsi="Arial"/>
        </w:rPr>
        <w:t>n, the clerk shall deliver to the plaintiff(s) written notice of the right of the parties to consent to disposition of the civil action by a magistrate judge under 28 U.S.C. § 636(c) and the provisions of this rule. A copy of the notice shall be attached t</w:t>
      </w:r>
      <w:r>
        <w:rPr>
          <w:rFonts w:ascii="Arial" w:hAnsi="Arial"/>
        </w:rPr>
        <w:t>o the summons and served on the defendant(s). A failure to serve a copy of such notice on a defendant shall not affect the validity of the service of process or personal jurisdiction over the defendant(s).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ind w:left="720" w:hanging="720"/>
        <w:rPr>
          <w:rFonts w:ascii="Arial" w:hAnsi="Arial"/>
        </w:rPr>
      </w:pPr>
      <w:r>
        <w:rPr>
          <w:rFonts w:ascii="Arial" w:hAnsi="Arial"/>
          <w:b/>
        </w:rPr>
        <w:t>(d)</w:t>
      </w:r>
      <w:r>
        <w:rPr>
          <w:rFonts w:ascii="Arial" w:hAnsi="Arial"/>
          <w:b/>
        </w:rPr>
        <w:tab/>
        <w:t>Unanimous Consent; Determination. To</w:t>
      </w:r>
      <w:r>
        <w:rPr>
          <w:rFonts w:ascii="Arial" w:hAnsi="Arial"/>
        </w:rPr>
        <w:t xml:space="preserve"> consent </w:t>
      </w:r>
      <w:r>
        <w:rPr>
          <w:rFonts w:ascii="Arial" w:hAnsi="Arial"/>
        </w:rPr>
        <w:t>to the jurisdiction of a magistrate judge under 28 U.S.C. § 636(c), all parties shall complete and file a Consent to the Exercise of Jurisdiction by a United States Magistrate Judge form HERE. Unless otherwise ordered by the assigned district judge, writte</w:t>
      </w:r>
      <w:r>
        <w:rPr>
          <w:rFonts w:ascii="Arial" w:hAnsi="Arial"/>
        </w:rPr>
        <w:t>n consent to proceed before a magistrate judge must be filed no later than 14 days after the discovery cut-off date. In cases not involving discovery, the parties shall have 40 days from the filing of the last responsive pleading to file their unanimous co</w:t>
      </w:r>
      <w:r>
        <w:rPr>
          <w:rFonts w:ascii="Arial" w:hAnsi="Arial"/>
        </w:rPr>
        <w:t>nsent. When there is such consent, the magistrate judge shall forthwith notify the assigned district judge, who will then determine whether to enter an order of reference under 28 U.S.C. § 636(c).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ind w:left="720" w:hanging="720"/>
        <w:rPr>
          <w:rFonts w:ascii="Arial" w:hAnsi="Arial"/>
        </w:rPr>
      </w:pPr>
      <w:r>
        <w:rPr>
          <w:rFonts w:ascii="Arial" w:hAnsi="Arial"/>
          <w:b/>
        </w:rPr>
        <w:t>(e)</w:t>
      </w:r>
      <w:r>
        <w:rPr>
          <w:rFonts w:ascii="Arial" w:hAnsi="Arial"/>
          <w:b/>
        </w:rPr>
        <w:tab/>
        <w:t xml:space="preserve">Assignment. </w:t>
      </w:r>
      <w:r>
        <w:rPr>
          <w:rFonts w:ascii="Arial" w:hAnsi="Arial"/>
        </w:rPr>
        <w:t>On entry of an order of reference under 28</w:t>
      </w:r>
      <w:r>
        <w:rPr>
          <w:rFonts w:ascii="Arial" w:hAnsi="Arial"/>
        </w:rPr>
        <w:t xml:space="preserve"> U.S.C. § 636(c), the civil action shall be assigned to the magistrate judge currently assigned to the case.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ind w:left="720" w:hanging="720"/>
        <w:rPr>
          <w:rFonts w:ascii="Arial" w:hAnsi="Arial"/>
        </w:rPr>
      </w:pPr>
      <w:r>
        <w:rPr>
          <w:rFonts w:ascii="Arial" w:hAnsi="Arial"/>
          <w:b/>
        </w:rPr>
        <w:t>(f)</w:t>
      </w:r>
      <w:r>
        <w:rPr>
          <w:rFonts w:ascii="Arial" w:hAnsi="Arial"/>
          <w:b/>
        </w:rPr>
        <w:tab/>
        <w:t>Additional Parties.</w:t>
      </w:r>
      <w:r>
        <w:rPr>
          <w:rFonts w:ascii="Arial" w:hAnsi="Arial"/>
        </w:rPr>
        <w:t xml:space="preserve"> Any party added to the action or served after reference to a magistrate judge under this rule shall be notified by the cle</w:t>
      </w:r>
      <w:r>
        <w:rPr>
          <w:rFonts w:ascii="Arial" w:hAnsi="Arial"/>
        </w:rPr>
        <w:t xml:space="preserve">rk of the right to consent to the exercise of jurisdiction by the magistrate judge under 28 U.S.C. § 636(c). If an added party does not file a consent to proceed before the magistrate judge within 21 days from the date of mailing of the notice, the action </w:t>
      </w:r>
      <w:r>
        <w:rPr>
          <w:rFonts w:ascii="Arial" w:hAnsi="Arial"/>
        </w:rPr>
        <w:t>shall be returned to the assigned district judge for further proceedings.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ind w:left="720" w:hanging="720"/>
        <w:rPr>
          <w:rFonts w:ascii="Arial" w:hAnsi="Arial"/>
        </w:rPr>
      </w:pPr>
      <w:r>
        <w:rPr>
          <w:rFonts w:ascii="Arial" w:hAnsi="Arial"/>
          <w:b/>
        </w:rPr>
        <w:t>(g)</w:t>
      </w:r>
      <w:r>
        <w:rPr>
          <w:rFonts w:ascii="Arial" w:hAnsi="Arial"/>
          <w:b/>
        </w:rPr>
        <w:tab/>
        <w:t>Vacating Reference.</w:t>
      </w:r>
      <w:r>
        <w:rPr>
          <w:rFonts w:ascii="Arial" w:hAnsi="Arial"/>
        </w:rPr>
        <w:t xml:space="preserve"> A reference of a civil matter to a magistrate judge may be vacated under 28 U.S.C. § 636(c)(4).</w:t>
      </w:r>
    </w:p>
    <w:p w:rsidR="00000000" w:rsidRDefault="00D37434">
      <w:pPr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(06/15)</w:t>
      </w:r>
    </w:p>
    <w:p w:rsidR="00000000" w:rsidRDefault="00D37434">
      <w:pPr>
        <w:widowControl w:val="0"/>
        <w:tabs>
          <w:tab w:val="center" w:pos="4680"/>
        </w:tabs>
        <w:rPr>
          <w:rFonts w:ascii="Arial" w:hAnsi="Arial"/>
          <w:b/>
        </w:rPr>
      </w:pPr>
      <w:r>
        <w:rPr>
          <w:rFonts w:ascii="Arial" w:hAnsi="Arial"/>
          <w:sz w:val="16"/>
        </w:rPr>
        <w:br w:type="page"/>
      </w:r>
      <w:r>
        <w:rPr>
          <w:rFonts w:ascii="Arial" w:hAnsi="Arial"/>
        </w:rPr>
        <w:tab/>
      </w:r>
    </w:p>
    <w:p w:rsidR="00000000" w:rsidRDefault="00D37434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UNITED STATES DISTRICT COURT</w:t>
      </w:r>
    </w:p>
    <w:p w:rsidR="00000000" w:rsidRDefault="00D37434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DISTRICT OF C</w:t>
      </w:r>
      <w:r>
        <w:rPr>
          <w:rFonts w:ascii="Arial" w:hAnsi="Arial"/>
          <w:b/>
        </w:rPr>
        <w:t>OLORADO</w:t>
      </w:r>
    </w:p>
    <w:p w:rsidR="00000000" w:rsidRDefault="00D37434">
      <w:pPr>
        <w:widowControl w:val="0"/>
        <w:jc w:val="center"/>
        <w:rPr>
          <w:rFonts w:ascii="Arial" w:hAnsi="Arial"/>
          <w:b/>
        </w:rPr>
      </w:pPr>
    </w:p>
    <w:p w:rsidR="00000000" w:rsidRDefault="00D37434">
      <w:pPr>
        <w:widowControl w:val="0"/>
        <w:jc w:val="center"/>
        <w:rPr>
          <w:rFonts w:ascii="Arial" w:hAnsi="Arial"/>
          <w:b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>Civil Action No. __________________________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>__________________________,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Plaintiff(s),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>v.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>__________________________,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 w:rsidP="00D37434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Defendant(s).</w:t>
      </w:r>
    </w:p>
    <w:p w:rsidR="00D37434" w:rsidRDefault="00D37434" w:rsidP="00D37434">
      <w:pPr>
        <w:widowControl w:val="0"/>
        <w:rPr>
          <w:rFonts w:ascii="Arial" w:hAnsi="Arial"/>
        </w:rPr>
      </w:pPr>
    </w:p>
    <w:p w:rsidR="00D37434" w:rsidRDefault="00D37434" w:rsidP="00D37434">
      <w:pPr>
        <w:widowControl w:val="0"/>
        <w:rPr>
          <w:rFonts w:ascii="Arial" w:hAnsi="Arial"/>
        </w:rPr>
      </w:pPr>
      <w:r>
        <w:rPr>
          <w:rFonts w:ascii="Arial" w:hAnsi="Arial"/>
        </w:rPr>
        <w:pict>
          <v:rect id="_x0000_i1025" style="width:0;height:1.5pt" o:hralign="center" o:hrstd="t" o:hr="t" fillcolor="#a0a0a0" stroked="f"/>
        </w:pict>
      </w:r>
    </w:p>
    <w:p w:rsidR="00D37434" w:rsidRDefault="00D37434" w:rsidP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b/>
        </w:rPr>
        <w:t>ORDER OF REFERENCE PURSUANT TO 28 U.S.C. § 636 (c)</w:t>
      </w:r>
    </w:p>
    <w:p w:rsidR="00000000" w:rsidRDefault="00D37434" w:rsidP="00D37434">
      <w:pPr>
        <w:widowControl w:val="0"/>
        <w:rPr>
          <w:rFonts w:ascii="Arial" w:hAnsi="Arial"/>
        </w:rPr>
      </w:pPr>
      <w:r>
        <w:rPr>
          <w:rFonts w:ascii="Arial" w:hAnsi="Arial"/>
        </w:rPr>
        <w:pict>
          <v:rect id="_x0000_i1026" style="width:0;height:1.5pt" o:hralign="center" o:hrstd="t" o:hr="t" fillcolor="#a0a0a0" stroked="f"/>
        </w:pict>
      </w:r>
    </w:p>
    <w:p w:rsidR="00000000" w:rsidRDefault="00D37434">
      <w:pPr>
        <w:widowControl w:val="0"/>
        <w:spacing w:line="-38" w:lineRule="auto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 xml:space="preserve">Pursuant to D.C.COLO.LCivR 72.2, on the _______ </w:t>
      </w:r>
      <w:r>
        <w:rPr>
          <w:rFonts w:ascii="Arial" w:hAnsi="Arial"/>
        </w:rPr>
        <w:t>day of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>_________________, _______, Magistrate Judge ____________________ notified the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>court of the parties' unanimous consent to disposition of the above action by a United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>States Magistrate Judge.  Now, therefore, being sufficiently advised,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IT IS OR</w:t>
      </w:r>
      <w:r>
        <w:rPr>
          <w:rFonts w:ascii="Arial" w:hAnsi="Arial"/>
        </w:rPr>
        <w:t>DERED as follows: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 xml:space="preserve">The above action is referred for disposition to the magistrate judge currently 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>assigned to the case pursuant to 28 U.S.C. § 636 (c).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BY THE COURT:</w:t>
      </w: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rPr>
          <w:rFonts w:ascii="Arial" w:hAnsi="Arial"/>
        </w:rPr>
      </w:pPr>
    </w:p>
    <w:p w:rsidR="00000000" w:rsidRDefault="00D37434">
      <w:pPr>
        <w:widowControl w:val="0"/>
        <w:ind w:left="5040" w:hanging="5040"/>
        <w:rPr>
          <w:rFonts w:ascii="Arial" w:hAnsi="Arial"/>
        </w:rPr>
      </w:pPr>
      <w:r>
        <w:rPr>
          <w:rFonts w:ascii="Arial" w:hAnsi="Arial"/>
        </w:rPr>
        <w:t>DATED: ______________________</w:t>
      </w:r>
      <w:r>
        <w:rPr>
          <w:rFonts w:ascii="Arial" w:hAnsi="Arial"/>
        </w:rPr>
        <w:tab/>
        <w:t>____________________________</w:t>
      </w:r>
      <w:bookmarkStart w:id="0" w:name="_GoBack"/>
      <w:bookmarkEnd w:id="0"/>
    </w:p>
    <w:p w:rsidR="00000000" w:rsidRDefault="00D37434">
      <w:pPr>
        <w:widowControl w:val="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United States</w:t>
      </w:r>
      <w:r>
        <w:rPr>
          <w:rFonts w:ascii="Arial" w:hAnsi="Arial"/>
        </w:rPr>
        <w:t xml:space="preserve"> District Court Judge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3F"/>
    <w:rsid w:val="005F0A3F"/>
    <w:rsid w:val="00D3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basedOn w:val="Normal"/>
    <w:pPr>
      <w:widowControl w:val="0"/>
      <w:tabs>
        <w:tab w:val="left" w:pos="8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820" w:hanging="720"/>
    </w:pPr>
    <w:rPr>
      <w:rFonts w:ascii="Arial" w:hAnsi="Arial"/>
    </w:rPr>
  </w:style>
  <w:style w:type="paragraph" w:customStyle="1" w:styleId="Outline0012">
    <w:name w:val="Outline001_2"/>
    <w:basedOn w:val="Normal"/>
    <w:pPr>
      <w:widowControl w:val="0"/>
      <w:tabs>
        <w:tab w:val="left" w:pos="168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86" w:hanging="720"/>
    </w:pPr>
  </w:style>
  <w:style w:type="paragraph" w:customStyle="1" w:styleId="Outline0013">
    <w:name w:val="Outline001_3"/>
    <w:basedOn w:val="Normal"/>
    <w:pPr>
      <w:widowControl w:val="0"/>
      <w:tabs>
        <w:tab w:val="left" w:pos="2551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2551" w:hanging="720"/>
    </w:pPr>
  </w:style>
  <w:style w:type="paragraph" w:customStyle="1" w:styleId="Outline0014">
    <w:name w:val="Outline001_4"/>
    <w:basedOn w:val="Normal"/>
    <w:pPr>
      <w:widowControl w:val="0"/>
      <w:tabs>
        <w:tab w:val="left" w:pos="341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418" w:hanging="720"/>
    </w:pPr>
  </w:style>
  <w:style w:type="paragraph" w:customStyle="1" w:styleId="Outline0015">
    <w:name w:val="Outline001_5"/>
    <w:basedOn w:val="Normal"/>
    <w:pPr>
      <w:widowControl w:val="0"/>
      <w:tabs>
        <w:tab w:val="left" w:pos="428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4284" w:hanging="720"/>
    </w:pPr>
  </w:style>
  <w:style w:type="paragraph" w:customStyle="1" w:styleId="Outline0016">
    <w:name w:val="Outline001_6"/>
    <w:basedOn w:val="Normal"/>
    <w:pPr>
      <w:widowControl w:val="0"/>
      <w:tabs>
        <w:tab w:val="left" w:pos="5149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149" w:hanging="720"/>
    </w:pPr>
  </w:style>
  <w:style w:type="paragraph" w:customStyle="1" w:styleId="Outline0017">
    <w:name w:val="Outline001_7"/>
    <w:basedOn w:val="Normal"/>
    <w:pPr>
      <w:widowControl w:val="0"/>
      <w:tabs>
        <w:tab w:val="left" w:pos="6016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016" w:hanging="720"/>
    </w:pPr>
  </w:style>
  <w:style w:type="paragraph" w:customStyle="1" w:styleId="Outline0018">
    <w:name w:val="Outline001_8"/>
    <w:basedOn w:val="Normal"/>
    <w:pPr>
      <w:widowControl w:val="0"/>
      <w:tabs>
        <w:tab w:val="left" w:pos="688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882" w:hanging="720"/>
    </w:pPr>
  </w:style>
  <w:style w:type="paragraph" w:customStyle="1" w:styleId="Outline0019">
    <w:name w:val="Outline001_9"/>
    <w:basedOn w:val="Normal"/>
    <w:pPr>
      <w:widowControl w:val="0"/>
      <w:tabs>
        <w:tab w:val="left" w:pos="7747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747" w:hanging="72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BodyTex">
    <w:name w:val="Body Tex"/>
    <w:basedOn w:val="Normal"/>
    <w:pPr>
      <w:widowControl w:val="0"/>
      <w:tabs>
        <w:tab w:val="left" w:pos="8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820" w:hanging="720"/>
    </w:pPr>
    <w:rPr>
      <w:rFonts w:ascii="Arial" w:hAnsi="Arial"/>
    </w:rPr>
  </w:style>
  <w:style w:type="paragraph" w:customStyle="1" w:styleId="ListParagra">
    <w:name w:val="List Paragra"/>
    <w:basedOn w:val="Normal"/>
    <w:pPr>
      <w:widowControl w:val="0"/>
    </w:pPr>
  </w:style>
  <w:style w:type="paragraph" w:customStyle="1" w:styleId="TableParagr">
    <w:name w:val="Table Paragr"/>
    <w:basedOn w:val="Normal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basedOn w:val="Normal"/>
    <w:pPr>
      <w:widowControl w:val="0"/>
      <w:tabs>
        <w:tab w:val="left" w:pos="8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820" w:hanging="720"/>
    </w:pPr>
    <w:rPr>
      <w:rFonts w:ascii="Arial" w:hAnsi="Arial"/>
    </w:rPr>
  </w:style>
  <w:style w:type="paragraph" w:customStyle="1" w:styleId="Outline0012">
    <w:name w:val="Outline001_2"/>
    <w:basedOn w:val="Normal"/>
    <w:pPr>
      <w:widowControl w:val="0"/>
      <w:tabs>
        <w:tab w:val="left" w:pos="168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86" w:hanging="720"/>
    </w:pPr>
  </w:style>
  <w:style w:type="paragraph" w:customStyle="1" w:styleId="Outline0013">
    <w:name w:val="Outline001_3"/>
    <w:basedOn w:val="Normal"/>
    <w:pPr>
      <w:widowControl w:val="0"/>
      <w:tabs>
        <w:tab w:val="left" w:pos="2551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2551" w:hanging="720"/>
    </w:pPr>
  </w:style>
  <w:style w:type="paragraph" w:customStyle="1" w:styleId="Outline0014">
    <w:name w:val="Outline001_4"/>
    <w:basedOn w:val="Normal"/>
    <w:pPr>
      <w:widowControl w:val="0"/>
      <w:tabs>
        <w:tab w:val="left" w:pos="341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418" w:hanging="720"/>
    </w:pPr>
  </w:style>
  <w:style w:type="paragraph" w:customStyle="1" w:styleId="Outline0015">
    <w:name w:val="Outline001_5"/>
    <w:basedOn w:val="Normal"/>
    <w:pPr>
      <w:widowControl w:val="0"/>
      <w:tabs>
        <w:tab w:val="left" w:pos="428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4284" w:hanging="720"/>
    </w:pPr>
  </w:style>
  <w:style w:type="paragraph" w:customStyle="1" w:styleId="Outline0016">
    <w:name w:val="Outline001_6"/>
    <w:basedOn w:val="Normal"/>
    <w:pPr>
      <w:widowControl w:val="0"/>
      <w:tabs>
        <w:tab w:val="left" w:pos="5149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149" w:hanging="720"/>
    </w:pPr>
  </w:style>
  <w:style w:type="paragraph" w:customStyle="1" w:styleId="Outline0017">
    <w:name w:val="Outline001_7"/>
    <w:basedOn w:val="Normal"/>
    <w:pPr>
      <w:widowControl w:val="0"/>
      <w:tabs>
        <w:tab w:val="left" w:pos="6016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016" w:hanging="720"/>
    </w:pPr>
  </w:style>
  <w:style w:type="paragraph" w:customStyle="1" w:styleId="Outline0018">
    <w:name w:val="Outline001_8"/>
    <w:basedOn w:val="Normal"/>
    <w:pPr>
      <w:widowControl w:val="0"/>
      <w:tabs>
        <w:tab w:val="left" w:pos="688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882" w:hanging="720"/>
    </w:pPr>
  </w:style>
  <w:style w:type="paragraph" w:customStyle="1" w:styleId="Outline0019">
    <w:name w:val="Outline001_9"/>
    <w:basedOn w:val="Normal"/>
    <w:pPr>
      <w:widowControl w:val="0"/>
      <w:tabs>
        <w:tab w:val="left" w:pos="7747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747" w:hanging="72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BodyTex">
    <w:name w:val="Body Tex"/>
    <w:basedOn w:val="Normal"/>
    <w:pPr>
      <w:widowControl w:val="0"/>
      <w:tabs>
        <w:tab w:val="left" w:pos="8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820" w:hanging="720"/>
    </w:pPr>
    <w:rPr>
      <w:rFonts w:ascii="Arial" w:hAnsi="Arial"/>
    </w:rPr>
  </w:style>
  <w:style w:type="paragraph" w:customStyle="1" w:styleId="ListParagra">
    <w:name w:val="List Paragra"/>
    <w:basedOn w:val="Normal"/>
    <w:pPr>
      <w:widowControl w:val="0"/>
    </w:pPr>
  </w:style>
  <w:style w:type="paragraph" w:customStyle="1" w:styleId="TableParagr">
    <w:name w:val="Table Paragr"/>
    <w:basedOn w:val="Normal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Brown</dc:creator>
  <cp:lastModifiedBy>Debra Brown</cp:lastModifiedBy>
  <cp:revision>2</cp:revision>
  <cp:lastPrinted>2015-06-10T19:45:00Z</cp:lastPrinted>
  <dcterms:created xsi:type="dcterms:W3CDTF">2015-06-10T19:47:00Z</dcterms:created>
  <dcterms:modified xsi:type="dcterms:W3CDTF">2015-06-10T19:47:00Z</dcterms:modified>
</cp:coreProperties>
</file>