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2CA5" w14:textId="77777777" w:rsidR="009B363D" w:rsidRDefault="009B363D" w:rsidP="009B363D">
      <w:pPr>
        <w:autoSpaceDE w:val="0"/>
        <w:autoSpaceDN w:val="0"/>
        <w:adjustRightInd w:val="0"/>
        <w:spacing w:after="0" w:line="240" w:lineRule="auto"/>
        <w:rPr>
          <w:rFonts w:cs="Arial"/>
          <w:szCs w:val="24"/>
        </w:rPr>
      </w:pPr>
      <w:r>
        <w:rPr>
          <w:rFonts w:cs="Arial"/>
          <w:szCs w:val="24"/>
          <w:lang w:val="en-CA"/>
        </w:rPr>
        <w:fldChar w:fldCharType="begin"/>
      </w:r>
      <w:r>
        <w:rPr>
          <w:rFonts w:cs="Arial"/>
          <w:szCs w:val="24"/>
          <w:lang w:val="en-CA"/>
        </w:rPr>
        <w:instrText xml:space="preserve"> SEQ CHAPTER \h \r 1</w:instrText>
      </w:r>
      <w:r>
        <w:rPr>
          <w:rFonts w:cs="Arial"/>
          <w:szCs w:val="24"/>
          <w:lang w:val="en-CA"/>
        </w:rPr>
        <w:fldChar w:fldCharType="end"/>
      </w:r>
    </w:p>
    <w:p w14:paraId="2E2BA91C" w14:textId="77777777" w:rsidR="009B363D" w:rsidRPr="00017CB3" w:rsidRDefault="009B363D" w:rsidP="009B363D">
      <w:pPr>
        <w:autoSpaceDE w:val="0"/>
        <w:autoSpaceDN w:val="0"/>
        <w:adjustRightInd w:val="0"/>
        <w:spacing w:after="0" w:line="240" w:lineRule="auto"/>
        <w:ind w:left="720" w:hanging="720"/>
        <w:jc w:val="center"/>
        <w:rPr>
          <w:rFonts w:cs="Arial"/>
          <w:b/>
          <w:bCs/>
          <w:szCs w:val="24"/>
        </w:rPr>
      </w:pPr>
      <w:r w:rsidRPr="00017CB3">
        <w:rPr>
          <w:rFonts w:cs="Arial"/>
          <w:b/>
          <w:bCs/>
          <w:szCs w:val="24"/>
        </w:rPr>
        <w:t>PRACTICE STANDARDS</w:t>
      </w:r>
    </w:p>
    <w:p w14:paraId="5C03519D" w14:textId="04CADECB" w:rsidR="009B363D" w:rsidRPr="00017CB3" w:rsidRDefault="007D6A45" w:rsidP="009B363D">
      <w:pPr>
        <w:autoSpaceDE w:val="0"/>
        <w:autoSpaceDN w:val="0"/>
        <w:adjustRightInd w:val="0"/>
        <w:spacing w:after="0" w:line="240" w:lineRule="auto"/>
        <w:jc w:val="center"/>
        <w:rPr>
          <w:rFonts w:cs="Arial"/>
          <w:b/>
          <w:bCs/>
          <w:szCs w:val="24"/>
          <w:u w:val="single"/>
        </w:rPr>
      </w:pPr>
      <w:r w:rsidRPr="00017CB3">
        <w:rPr>
          <w:rFonts w:cs="Arial"/>
          <w:b/>
          <w:bCs/>
          <w:szCs w:val="24"/>
        </w:rPr>
        <w:t>CRIMINAL ACTIONS</w:t>
      </w:r>
    </w:p>
    <w:p w14:paraId="065EE7F4" w14:textId="77777777" w:rsidR="009B363D" w:rsidRPr="00017CB3" w:rsidRDefault="009B363D" w:rsidP="009B363D">
      <w:pPr>
        <w:autoSpaceDE w:val="0"/>
        <w:autoSpaceDN w:val="0"/>
        <w:adjustRightInd w:val="0"/>
        <w:spacing w:after="0" w:line="240" w:lineRule="auto"/>
        <w:rPr>
          <w:rFonts w:cs="Arial"/>
          <w:szCs w:val="24"/>
        </w:rPr>
      </w:pPr>
    </w:p>
    <w:p w14:paraId="01F52F0C" w14:textId="77777777" w:rsidR="009B363D" w:rsidRPr="00017CB3" w:rsidRDefault="009B363D" w:rsidP="009B363D">
      <w:pPr>
        <w:tabs>
          <w:tab w:val="left" w:pos="720"/>
          <w:tab w:val="left" w:pos="1440"/>
        </w:tabs>
        <w:autoSpaceDE w:val="0"/>
        <w:autoSpaceDN w:val="0"/>
        <w:adjustRightInd w:val="0"/>
        <w:spacing w:after="0" w:line="240" w:lineRule="auto"/>
        <w:ind w:left="1440" w:hanging="1440"/>
        <w:rPr>
          <w:rFonts w:cs="Arial"/>
          <w:szCs w:val="24"/>
        </w:rPr>
      </w:pPr>
      <w:r w:rsidRPr="00017CB3">
        <w:rPr>
          <w:rFonts w:cs="Arial"/>
          <w:b/>
          <w:bCs/>
          <w:szCs w:val="24"/>
        </w:rPr>
        <w:t>TO:</w:t>
      </w:r>
      <w:r w:rsidRPr="00017CB3">
        <w:rPr>
          <w:rFonts w:cs="Arial"/>
          <w:szCs w:val="24"/>
        </w:rPr>
        <w:t xml:space="preserve"> </w:t>
      </w:r>
      <w:r w:rsidRPr="00017CB3">
        <w:rPr>
          <w:rFonts w:cs="Arial"/>
          <w:szCs w:val="24"/>
        </w:rPr>
        <w:tab/>
      </w:r>
      <w:r w:rsidRPr="00017CB3">
        <w:rPr>
          <w:rFonts w:cs="Arial"/>
          <w:szCs w:val="24"/>
        </w:rPr>
        <w:tab/>
        <w:t>Counsel and Parties</w:t>
      </w:r>
    </w:p>
    <w:p w14:paraId="361A83B3" w14:textId="77777777" w:rsidR="009B363D" w:rsidRPr="00017CB3" w:rsidRDefault="009B363D" w:rsidP="009B363D">
      <w:pPr>
        <w:tabs>
          <w:tab w:val="left" w:pos="720"/>
          <w:tab w:val="left" w:pos="1440"/>
        </w:tabs>
        <w:autoSpaceDE w:val="0"/>
        <w:autoSpaceDN w:val="0"/>
        <w:adjustRightInd w:val="0"/>
        <w:spacing w:after="0" w:line="240" w:lineRule="auto"/>
        <w:ind w:left="1440" w:hanging="1440"/>
        <w:rPr>
          <w:rFonts w:cs="Arial"/>
          <w:szCs w:val="24"/>
        </w:rPr>
      </w:pPr>
      <w:r w:rsidRPr="00017CB3">
        <w:rPr>
          <w:rFonts w:cs="Arial"/>
          <w:b/>
          <w:bCs/>
          <w:szCs w:val="24"/>
        </w:rPr>
        <w:t>FROM:</w:t>
      </w:r>
      <w:r w:rsidRPr="00017CB3">
        <w:rPr>
          <w:rFonts w:cs="Arial"/>
          <w:szCs w:val="24"/>
        </w:rPr>
        <w:t xml:space="preserve"> </w:t>
      </w:r>
      <w:r w:rsidRPr="00017CB3">
        <w:rPr>
          <w:rFonts w:cs="Arial"/>
          <w:szCs w:val="24"/>
        </w:rPr>
        <w:tab/>
        <w:t>Judge Regina M. Rodriguez</w:t>
      </w:r>
      <w:r w:rsidRPr="00017CB3">
        <w:rPr>
          <w:rFonts w:cs="Arial"/>
          <w:szCs w:val="24"/>
        </w:rPr>
        <w:tab/>
      </w:r>
    </w:p>
    <w:p w14:paraId="323B478B" w14:textId="77777777" w:rsidR="009B363D" w:rsidRPr="00017CB3" w:rsidRDefault="009B363D" w:rsidP="009B363D">
      <w:pPr>
        <w:tabs>
          <w:tab w:val="left" w:pos="720"/>
          <w:tab w:val="left" w:pos="1440"/>
        </w:tabs>
        <w:autoSpaceDE w:val="0"/>
        <w:autoSpaceDN w:val="0"/>
        <w:adjustRightInd w:val="0"/>
        <w:spacing w:after="0" w:line="240" w:lineRule="auto"/>
        <w:ind w:left="1440" w:hanging="1440"/>
        <w:rPr>
          <w:rFonts w:cs="Arial"/>
          <w:szCs w:val="24"/>
        </w:rPr>
      </w:pPr>
      <w:r w:rsidRPr="00017CB3">
        <w:rPr>
          <w:rFonts w:cs="Arial"/>
          <w:b/>
          <w:bCs/>
          <w:szCs w:val="24"/>
        </w:rPr>
        <w:t>RE:</w:t>
      </w:r>
      <w:r w:rsidRPr="00017CB3">
        <w:rPr>
          <w:rFonts w:cs="Arial"/>
          <w:szCs w:val="24"/>
        </w:rPr>
        <w:tab/>
        <w:t xml:space="preserve"> </w:t>
      </w:r>
      <w:r w:rsidRPr="00017CB3">
        <w:rPr>
          <w:rFonts w:cs="Arial"/>
          <w:szCs w:val="24"/>
        </w:rPr>
        <w:tab/>
        <w:t>Practice Standards Criminal Actions</w:t>
      </w:r>
    </w:p>
    <w:p w14:paraId="27345DFD" w14:textId="77777777" w:rsidR="009B363D" w:rsidRPr="00017CB3" w:rsidRDefault="009B363D" w:rsidP="009B363D">
      <w:pPr>
        <w:jc w:val="center"/>
        <w:rPr>
          <w:rFonts w:cs="Arial"/>
        </w:rPr>
      </w:pPr>
    </w:p>
    <w:p w14:paraId="1F06791F" w14:textId="77777777" w:rsidR="009B363D" w:rsidRPr="00017CB3" w:rsidRDefault="009B363D" w:rsidP="009B363D">
      <w:pPr>
        <w:pStyle w:val="Heading1"/>
        <w:keepNext w:val="0"/>
        <w:keepLines w:val="0"/>
        <w:widowControl w:val="0"/>
        <w:autoSpaceDE w:val="0"/>
        <w:autoSpaceDN w:val="0"/>
        <w:spacing w:before="0" w:line="240" w:lineRule="auto"/>
        <w:ind w:left="820" w:hanging="360"/>
        <w:rPr>
          <w:rFonts w:cs="Arial"/>
        </w:rPr>
      </w:pPr>
      <w:r w:rsidRPr="00017CB3">
        <w:rPr>
          <w:rFonts w:cs="Arial"/>
        </w:rPr>
        <w:t>GENERAL</w:t>
      </w:r>
      <w:r w:rsidRPr="00017CB3">
        <w:rPr>
          <w:rFonts w:cs="Arial"/>
          <w:spacing w:val="-1"/>
        </w:rPr>
        <w:t xml:space="preserve"> </w:t>
      </w:r>
      <w:r w:rsidRPr="00017CB3">
        <w:rPr>
          <w:rFonts w:cs="Arial"/>
        </w:rPr>
        <w:t>PROCEDURES</w:t>
      </w:r>
    </w:p>
    <w:p w14:paraId="5661554E" w14:textId="77777777" w:rsidR="009B363D" w:rsidRPr="00017CB3" w:rsidRDefault="009B363D" w:rsidP="009B363D">
      <w:pPr>
        <w:pStyle w:val="BodyText"/>
        <w:spacing w:before="2"/>
        <w:rPr>
          <w:rFonts w:ascii="Arial" w:hAnsi="Arial" w:cs="Arial"/>
          <w:b/>
          <w:sz w:val="20"/>
        </w:rPr>
      </w:pPr>
    </w:p>
    <w:p w14:paraId="6F127044"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Applicable Rules</w:t>
      </w:r>
    </w:p>
    <w:p w14:paraId="3169E63A" w14:textId="77777777" w:rsidR="009B363D" w:rsidRPr="00017CB3" w:rsidRDefault="009B363D" w:rsidP="009B363D">
      <w:pPr>
        <w:pStyle w:val="BodyText"/>
        <w:spacing w:before="3"/>
        <w:rPr>
          <w:rFonts w:ascii="Arial" w:hAnsi="Arial" w:cs="Arial"/>
          <w:b/>
          <w:sz w:val="25"/>
        </w:rPr>
      </w:pPr>
    </w:p>
    <w:p w14:paraId="46B20CEC" w14:textId="77777777" w:rsidR="009B363D" w:rsidRPr="00017CB3" w:rsidRDefault="009B363D" w:rsidP="009B363D">
      <w:pPr>
        <w:pStyle w:val="BodyText"/>
        <w:ind w:left="820"/>
        <w:rPr>
          <w:rFonts w:ascii="Arial" w:hAnsi="Arial" w:cs="Arial"/>
        </w:rPr>
      </w:pPr>
      <w:r w:rsidRPr="00017CB3">
        <w:rPr>
          <w:rFonts w:ascii="Arial" w:hAnsi="Arial" w:cs="Arial"/>
        </w:rPr>
        <w:t>Those appearing in the District Court must know and follow:</w:t>
      </w:r>
    </w:p>
    <w:p w14:paraId="37A68902" w14:textId="77777777" w:rsidR="009B363D" w:rsidRPr="00017CB3" w:rsidRDefault="009B363D" w:rsidP="009B363D">
      <w:pPr>
        <w:pStyle w:val="BodyText"/>
        <w:spacing w:before="3"/>
        <w:rPr>
          <w:rFonts w:ascii="Arial" w:hAnsi="Arial" w:cs="Arial"/>
          <w:sz w:val="25"/>
        </w:rPr>
      </w:pPr>
    </w:p>
    <w:p w14:paraId="0AE2F250" w14:textId="77777777" w:rsidR="009B363D" w:rsidRPr="00017CB3" w:rsidRDefault="009B363D" w:rsidP="009B363D">
      <w:pPr>
        <w:pStyle w:val="ListParagraph"/>
        <w:numPr>
          <w:ilvl w:val="1"/>
          <w:numId w:val="6"/>
        </w:numPr>
        <w:tabs>
          <w:tab w:val="left" w:pos="1539"/>
          <w:tab w:val="left" w:pos="1540"/>
        </w:tabs>
        <w:rPr>
          <w:rFonts w:ascii="Arial" w:hAnsi="Arial" w:cs="Arial"/>
        </w:rPr>
      </w:pPr>
      <w:r w:rsidRPr="00017CB3">
        <w:rPr>
          <w:rFonts w:ascii="Arial" w:hAnsi="Arial" w:cs="Arial"/>
        </w:rPr>
        <w:t>The Federal Rules of Criminal</w:t>
      </w:r>
      <w:r w:rsidRPr="00017CB3">
        <w:rPr>
          <w:rFonts w:ascii="Arial" w:hAnsi="Arial" w:cs="Arial"/>
          <w:spacing w:val="-1"/>
        </w:rPr>
        <w:t xml:space="preserve"> </w:t>
      </w:r>
      <w:r w:rsidRPr="00017CB3">
        <w:rPr>
          <w:rFonts w:ascii="Arial" w:hAnsi="Arial" w:cs="Arial"/>
        </w:rPr>
        <w:t>Procedure;</w:t>
      </w:r>
    </w:p>
    <w:p w14:paraId="3F769FB5" w14:textId="77777777" w:rsidR="009B363D" w:rsidRPr="00017CB3" w:rsidRDefault="009B363D" w:rsidP="009B363D">
      <w:pPr>
        <w:pStyle w:val="ListParagraph"/>
        <w:numPr>
          <w:ilvl w:val="1"/>
          <w:numId w:val="6"/>
        </w:numPr>
        <w:tabs>
          <w:tab w:val="left" w:pos="1539"/>
          <w:tab w:val="left" w:pos="1540"/>
        </w:tabs>
        <w:spacing w:before="7"/>
        <w:rPr>
          <w:rFonts w:ascii="Arial" w:hAnsi="Arial" w:cs="Arial"/>
        </w:rPr>
      </w:pPr>
      <w:r w:rsidRPr="00017CB3">
        <w:rPr>
          <w:rFonts w:ascii="Arial" w:hAnsi="Arial" w:cs="Arial"/>
        </w:rPr>
        <w:t>The Federal Rules of</w:t>
      </w:r>
      <w:r w:rsidRPr="00017CB3">
        <w:rPr>
          <w:rFonts w:ascii="Arial" w:hAnsi="Arial" w:cs="Arial"/>
          <w:spacing w:val="-1"/>
        </w:rPr>
        <w:t xml:space="preserve"> </w:t>
      </w:r>
      <w:r w:rsidRPr="00017CB3">
        <w:rPr>
          <w:rFonts w:ascii="Arial" w:hAnsi="Arial" w:cs="Arial"/>
        </w:rPr>
        <w:t>Evidence;</w:t>
      </w:r>
    </w:p>
    <w:p w14:paraId="44D9C8E2" w14:textId="77777777" w:rsidR="009B363D" w:rsidRPr="00017CB3" w:rsidRDefault="009B363D" w:rsidP="009B363D">
      <w:pPr>
        <w:pStyle w:val="ListParagraph"/>
        <w:numPr>
          <w:ilvl w:val="1"/>
          <w:numId w:val="6"/>
        </w:numPr>
        <w:tabs>
          <w:tab w:val="left" w:pos="1539"/>
          <w:tab w:val="left" w:pos="1540"/>
        </w:tabs>
        <w:spacing w:before="8" w:line="247" w:lineRule="auto"/>
        <w:ind w:right="285"/>
        <w:rPr>
          <w:rFonts w:ascii="Arial" w:hAnsi="Arial" w:cs="Arial"/>
        </w:rPr>
      </w:pPr>
      <w:r w:rsidRPr="00017CB3">
        <w:rPr>
          <w:rFonts w:ascii="Arial" w:hAnsi="Arial" w:cs="Arial"/>
        </w:rPr>
        <w:t xml:space="preserve">The Local Rules of Practice of the United States District Court for the District </w:t>
      </w:r>
      <w:r w:rsidRPr="00017CB3">
        <w:rPr>
          <w:rFonts w:ascii="Arial" w:hAnsi="Arial" w:cs="Arial"/>
          <w:spacing w:val="-8"/>
        </w:rPr>
        <w:t xml:space="preserve">of </w:t>
      </w:r>
      <w:r w:rsidRPr="00017CB3">
        <w:rPr>
          <w:rFonts w:ascii="Arial" w:hAnsi="Arial" w:cs="Arial"/>
        </w:rPr>
        <w:t>Colorado;</w:t>
      </w:r>
    </w:p>
    <w:p w14:paraId="71FC4FAE" w14:textId="77777777" w:rsidR="009B363D" w:rsidRPr="00017CB3" w:rsidRDefault="009B363D" w:rsidP="009B363D">
      <w:pPr>
        <w:pStyle w:val="ListParagraph"/>
        <w:numPr>
          <w:ilvl w:val="1"/>
          <w:numId w:val="6"/>
        </w:numPr>
        <w:tabs>
          <w:tab w:val="left" w:pos="1539"/>
          <w:tab w:val="left" w:pos="1540"/>
        </w:tabs>
        <w:spacing w:line="247" w:lineRule="auto"/>
        <w:ind w:right="227"/>
        <w:rPr>
          <w:rFonts w:ascii="Arial" w:hAnsi="Arial" w:cs="Arial"/>
        </w:rPr>
      </w:pPr>
      <w:r w:rsidRPr="00017CB3">
        <w:rPr>
          <w:rFonts w:ascii="Arial" w:hAnsi="Arial" w:cs="Arial"/>
        </w:rPr>
        <w:t xml:space="preserve">The Electronic Case Filing Procedures (Criminal Version 3.0 or the most </w:t>
      </w:r>
      <w:r w:rsidRPr="00017CB3">
        <w:rPr>
          <w:rFonts w:ascii="Arial" w:hAnsi="Arial" w:cs="Arial"/>
          <w:spacing w:val="-3"/>
        </w:rPr>
        <w:t xml:space="preserve">current </w:t>
      </w:r>
      <w:r w:rsidRPr="00017CB3">
        <w:rPr>
          <w:rFonts w:ascii="Arial" w:hAnsi="Arial" w:cs="Arial"/>
        </w:rPr>
        <w:t>version); and</w:t>
      </w:r>
    </w:p>
    <w:p w14:paraId="7789AE49" w14:textId="77777777" w:rsidR="009B363D" w:rsidRPr="00017CB3" w:rsidRDefault="009B363D" w:rsidP="009B363D">
      <w:pPr>
        <w:pStyle w:val="ListParagraph"/>
        <w:numPr>
          <w:ilvl w:val="1"/>
          <w:numId w:val="6"/>
        </w:numPr>
        <w:tabs>
          <w:tab w:val="left" w:pos="1539"/>
          <w:tab w:val="left" w:pos="1540"/>
        </w:tabs>
        <w:spacing w:line="274" w:lineRule="exact"/>
        <w:rPr>
          <w:rFonts w:ascii="Arial" w:hAnsi="Arial" w:cs="Arial"/>
        </w:rPr>
      </w:pPr>
      <w:r w:rsidRPr="00017CB3">
        <w:rPr>
          <w:rFonts w:ascii="Arial" w:hAnsi="Arial" w:cs="Arial"/>
        </w:rPr>
        <w:t>These Practice Standards.</w:t>
      </w:r>
    </w:p>
    <w:p w14:paraId="77F00BE5" w14:textId="77777777" w:rsidR="009B363D" w:rsidRPr="00017CB3" w:rsidRDefault="009B363D" w:rsidP="009B363D">
      <w:pPr>
        <w:pStyle w:val="ListParagraph"/>
        <w:numPr>
          <w:ilvl w:val="0"/>
          <w:numId w:val="0"/>
        </w:numPr>
        <w:tabs>
          <w:tab w:val="left" w:pos="1539"/>
          <w:tab w:val="left" w:pos="1540"/>
        </w:tabs>
        <w:spacing w:line="274" w:lineRule="exact"/>
        <w:ind w:left="1540"/>
        <w:jc w:val="right"/>
        <w:rPr>
          <w:rFonts w:ascii="Arial" w:hAnsi="Arial" w:cs="Arial"/>
        </w:rPr>
      </w:pPr>
    </w:p>
    <w:p w14:paraId="4F054740"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Communications with Chambers</w:t>
      </w:r>
    </w:p>
    <w:p w14:paraId="188B5438" w14:textId="77777777" w:rsidR="009B363D" w:rsidRPr="00017CB3" w:rsidRDefault="009B363D" w:rsidP="009B363D">
      <w:pPr>
        <w:pStyle w:val="ListParagraph"/>
        <w:numPr>
          <w:ilvl w:val="0"/>
          <w:numId w:val="18"/>
        </w:numPr>
        <w:spacing w:line="274" w:lineRule="exact"/>
        <w:rPr>
          <w:rFonts w:ascii="Arial" w:hAnsi="Arial" w:cs="Arial"/>
        </w:rPr>
      </w:pPr>
      <w:r w:rsidRPr="00017CB3">
        <w:rPr>
          <w:rFonts w:ascii="Arial" w:hAnsi="Arial" w:cs="Arial"/>
        </w:rPr>
        <w:t xml:space="preserve">Chambers staff is not authorized to give legal advice or grant oral requests over the telephone, so please do not contact Chambers about substantive matters.  For procedural information or assistance regarding a case, including scheduling of hearings or trials, please contact the Judge’s chambers at </w:t>
      </w:r>
      <w:r w:rsidRPr="00017CB3">
        <w:rPr>
          <w:rFonts w:ascii="Arial" w:hAnsi="Arial" w:cs="Arial"/>
          <w:b/>
          <w:bCs/>
        </w:rPr>
        <w:t>rodriguez_chambers@cod.uscourts.gov</w:t>
      </w:r>
      <w:r w:rsidRPr="00017CB3">
        <w:rPr>
          <w:rFonts w:ascii="Arial" w:hAnsi="Arial" w:cs="Arial"/>
        </w:rPr>
        <w:t>.</w:t>
      </w:r>
    </w:p>
    <w:p w14:paraId="342AA663" w14:textId="77777777" w:rsidR="009B363D" w:rsidRPr="00017CB3" w:rsidRDefault="009B363D" w:rsidP="009B363D">
      <w:pPr>
        <w:pStyle w:val="ListParagraph"/>
        <w:numPr>
          <w:ilvl w:val="0"/>
          <w:numId w:val="18"/>
        </w:numPr>
        <w:tabs>
          <w:tab w:val="left" w:pos="1539"/>
          <w:tab w:val="left" w:pos="1540"/>
        </w:tabs>
        <w:spacing w:before="0" w:line="274" w:lineRule="exact"/>
        <w:rPr>
          <w:rFonts w:ascii="Arial" w:hAnsi="Arial" w:cs="Arial"/>
        </w:rPr>
      </w:pPr>
      <w:r w:rsidRPr="00017CB3">
        <w:rPr>
          <w:rFonts w:ascii="Arial" w:hAnsi="Arial" w:cs="Arial"/>
        </w:rPr>
        <w:t xml:space="preserve">All emails to chambers should include the case name and number in the subject line of the email. </w:t>
      </w:r>
    </w:p>
    <w:p w14:paraId="633DE6B9" w14:textId="7852754D" w:rsidR="009B363D" w:rsidRPr="00017CB3" w:rsidRDefault="009B363D" w:rsidP="00B8721F">
      <w:pPr>
        <w:pStyle w:val="ListParagraph"/>
        <w:numPr>
          <w:ilvl w:val="0"/>
          <w:numId w:val="18"/>
        </w:numPr>
        <w:tabs>
          <w:tab w:val="left" w:pos="1540"/>
        </w:tabs>
        <w:spacing w:before="0" w:line="247" w:lineRule="auto"/>
        <w:ind w:right="369"/>
        <w:rPr>
          <w:rFonts w:ascii="Arial" w:hAnsi="Arial" w:cs="Arial"/>
        </w:rPr>
      </w:pPr>
      <w:r w:rsidRPr="00017CB3">
        <w:rPr>
          <w:rFonts w:ascii="Arial" w:hAnsi="Arial" w:cs="Arial"/>
        </w:rPr>
        <w:t>For information about courtroom technology, trial preparation, or submission</w:t>
      </w:r>
      <w:r w:rsidRPr="00017CB3">
        <w:rPr>
          <w:rFonts w:ascii="Arial" w:hAnsi="Arial" w:cs="Arial"/>
          <w:spacing w:val="-18"/>
        </w:rPr>
        <w:t xml:space="preserve"> </w:t>
      </w:r>
      <w:r w:rsidRPr="00017CB3">
        <w:rPr>
          <w:rFonts w:ascii="Arial" w:hAnsi="Arial" w:cs="Arial"/>
          <w:spacing w:val="-8"/>
        </w:rPr>
        <w:t xml:space="preserve">of </w:t>
      </w:r>
      <w:r w:rsidRPr="00017CB3">
        <w:rPr>
          <w:rFonts w:ascii="Arial" w:hAnsi="Arial" w:cs="Arial"/>
        </w:rPr>
        <w:t xml:space="preserve">trial exhibits, please contact my Courtroom Deputy, </w:t>
      </w:r>
      <w:r w:rsidR="001D7C3D">
        <w:rPr>
          <w:rFonts w:ascii="Arial" w:hAnsi="Arial" w:cs="Arial"/>
        </w:rPr>
        <w:t xml:space="preserve">Kally Myhaver, </w:t>
      </w:r>
      <w:r w:rsidR="001D7C3D" w:rsidRPr="001D7C3D">
        <w:rPr>
          <w:rFonts w:ascii="Arial" w:hAnsi="Arial" w:cs="Arial"/>
        </w:rPr>
        <w:t>kally_myhaver@cod.uscourts.gov</w:t>
      </w:r>
      <w:r w:rsidRPr="00017CB3">
        <w:rPr>
          <w:rFonts w:ascii="Arial" w:hAnsi="Arial" w:cs="Arial"/>
        </w:rPr>
        <w:t>.</w:t>
      </w:r>
    </w:p>
    <w:p w14:paraId="58C94157" w14:textId="77777777" w:rsidR="009B363D" w:rsidRPr="00017CB3" w:rsidRDefault="009B363D" w:rsidP="009B363D">
      <w:pPr>
        <w:pStyle w:val="ListParagraph"/>
        <w:numPr>
          <w:ilvl w:val="0"/>
          <w:numId w:val="18"/>
        </w:numPr>
        <w:tabs>
          <w:tab w:val="left" w:pos="1539"/>
          <w:tab w:val="left" w:pos="1540"/>
        </w:tabs>
        <w:rPr>
          <w:rFonts w:ascii="Arial" w:hAnsi="Arial" w:cs="Arial"/>
        </w:rPr>
      </w:pPr>
      <w:r w:rsidRPr="00017CB3">
        <w:rPr>
          <w:rFonts w:ascii="Arial" w:hAnsi="Arial" w:cs="Arial"/>
        </w:rPr>
        <w:t>Please do not contact the law clerks about procedural or scheduling</w:t>
      </w:r>
      <w:r w:rsidRPr="00017CB3">
        <w:rPr>
          <w:rFonts w:ascii="Arial" w:hAnsi="Arial" w:cs="Arial"/>
          <w:spacing w:val="-16"/>
        </w:rPr>
        <w:t xml:space="preserve"> </w:t>
      </w:r>
      <w:r w:rsidRPr="00017CB3">
        <w:rPr>
          <w:rFonts w:ascii="Arial" w:hAnsi="Arial" w:cs="Arial"/>
        </w:rPr>
        <w:t>matters.</w:t>
      </w:r>
    </w:p>
    <w:p w14:paraId="3BDC834B" w14:textId="77777777" w:rsidR="009B363D" w:rsidRPr="00017CB3" w:rsidRDefault="009B363D" w:rsidP="009B363D">
      <w:pPr>
        <w:pStyle w:val="BodyText"/>
        <w:spacing w:before="8"/>
        <w:rPr>
          <w:rFonts w:ascii="Arial" w:hAnsi="Arial" w:cs="Arial"/>
          <w:sz w:val="25"/>
        </w:rPr>
      </w:pPr>
    </w:p>
    <w:p w14:paraId="15A5A22D"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Proposed</w:t>
      </w:r>
      <w:r w:rsidRPr="00017CB3">
        <w:rPr>
          <w:rFonts w:cs="Arial"/>
          <w:spacing w:val="-1"/>
        </w:rPr>
        <w:t xml:space="preserve"> </w:t>
      </w:r>
      <w:r w:rsidRPr="00017CB3">
        <w:rPr>
          <w:rFonts w:cs="Arial"/>
        </w:rPr>
        <w:t>Orders</w:t>
      </w:r>
    </w:p>
    <w:p w14:paraId="0E4B483B" w14:textId="77777777" w:rsidR="009B363D" w:rsidRPr="00017CB3" w:rsidRDefault="009B363D" w:rsidP="009B363D">
      <w:pPr>
        <w:pStyle w:val="BodyText"/>
        <w:spacing w:before="10"/>
        <w:rPr>
          <w:rFonts w:ascii="Arial" w:hAnsi="Arial" w:cs="Arial"/>
          <w:b/>
        </w:rPr>
      </w:pPr>
    </w:p>
    <w:p w14:paraId="791EB587" w14:textId="77777777"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rPr>
        <w:t xml:space="preserve">You may be directed to transmit proposed orders or other pleadings or </w:t>
      </w:r>
      <w:r w:rsidRPr="00017CB3">
        <w:rPr>
          <w:rFonts w:ascii="Arial" w:hAnsi="Arial" w:cs="Arial"/>
        </w:rPr>
        <w:lastRenderedPageBreak/>
        <w:t xml:space="preserve">papers by e-mail to </w:t>
      </w:r>
      <w:r w:rsidRPr="00017CB3">
        <w:rPr>
          <w:rFonts w:ascii="Arial" w:hAnsi="Arial" w:cs="Arial"/>
          <w:b/>
          <w:bCs/>
        </w:rPr>
        <w:t>rodriguez_chambers@cod.uscourts.gov</w:t>
      </w:r>
      <w:r w:rsidRPr="00017CB3">
        <w:rPr>
          <w:rFonts w:ascii="Arial" w:hAnsi="Arial" w:cs="Arial"/>
        </w:rPr>
        <w:t xml:space="preserve">.  The proposed order or document should be submitted as an attachment to the e-mail in Word format unless otherwise specified. The e-mail message should identify the case number and document attached.  </w:t>
      </w:r>
      <w:r w:rsidRPr="00017CB3">
        <w:rPr>
          <w:rFonts w:ascii="Arial" w:hAnsi="Arial" w:cs="Arial"/>
          <w:b/>
          <w:bCs/>
        </w:rPr>
        <w:t>Please do not send documents directly to chambers by facsimile or e-mail unless requested or ordered to do so by the court.</w:t>
      </w:r>
    </w:p>
    <w:p w14:paraId="2A2701CB"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Citations</w:t>
      </w:r>
    </w:p>
    <w:p w14:paraId="357C8510" w14:textId="77777777" w:rsidR="009B363D" w:rsidRPr="00017CB3" w:rsidRDefault="009B363D" w:rsidP="009B363D">
      <w:pPr>
        <w:pStyle w:val="ListParagraph"/>
        <w:numPr>
          <w:ilvl w:val="0"/>
          <w:numId w:val="19"/>
        </w:numPr>
        <w:ind w:hanging="730"/>
        <w:rPr>
          <w:rFonts w:ascii="Arial" w:hAnsi="Arial" w:cs="Arial"/>
        </w:rPr>
      </w:pPr>
      <w:r w:rsidRPr="00017CB3">
        <w:rPr>
          <w:rFonts w:ascii="Arial" w:hAnsi="Arial" w:cs="Arial"/>
        </w:rPr>
        <w:t xml:space="preserve">Citations shall be made pursuant to the most current edition of </w:t>
      </w:r>
      <w:proofErr w:type="gramStart"/>
      <w:r w:rsidRPr="00017CB3">
        <w:rPr>
          <w:rFonts w:ascii="Arial" w:hAnsi="Arial" w:cs="Arial"/>
        </w:rPr>
        <w:t>THE  BLUEBOOK</w:t>
      </w:r>
      <w:proofErr w:type="gramEnd"/>
      <w:r w:rsidRPr="00017CB3">
        <w:rPr>
          <w:rFonts w:ascii="Arial" w:hAnsi="Arial" w:cs="Arial"/>
        </w:rPr>
        <w:t>: A UNIFORM SYSTEM OF CITATION.</w:t>
      </w:r>
    </w:p>
    <w:p w14:paraId="0509991F" w14:textId="24C57C4F"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rPr>
        <w:t>General references to cases, pleadings, depositions, or documents are insufficient if the document is more than one page in length.  Whenever possible, specific references in the form of pinpoint citations should be used to identify relevant excerpts from cases, pleadings, depositions, or documents.</w:t>
      </w:r>
    </w:p>
    <w:p w14:paraId="5C43F9B9" w14:textId="77777777"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rPr>
        <w:t>Whenever practicable, a citation to an unpublished opinion should include its Westlaw® citation.</w:t>
      </w:r>
    </w:p>
    <w:p w14:paraId="36D028A4" w14:textId="77777777" w:rsidR="009B363D" w:rsidRPr="00017CB3" w:rsidRDefault="009B363D" w:rsidP="009B363D">
      <w:pPr>
        <w:pStyle w:val="Heading1"/>
        <w:numPr>
          <w:ilvl w:val="0"/>
          <w:numId w:val="0"/>
        </w:numPr>
        <w:tabs>
          <w:tab w:val="left" w:pos="819"/>
          <w:tab w:val="left" w:pos="820"/>
        </w:tabs>
        <w:ind w:left="1540"/>
        <w:jc w:val="right"/>
        <w:rPr>
          <w:rFonts w:cs="Arial"/>
          <w:b w:val="0"/>
          <w:bCs/>
        </w:rPr>
      </w:pPr>
    </w:p>
    <w:p w14:paraId="6AB3EDC6"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Motions to Continue</w:t>
      </w:r>
    </w:p>
    <w:p w14:paraId="13B5A8BD" w14:textId="77777777" w:rsidR="009B363D" w:rsidRPr="00017CB3" w:rsidRDefault="009B363D" w:rsidP="009B363D">
      <w:pPr>
        <w:pStyle w:val="ListParagraph"/>
        <w:numPr>
          <w:ilvl w:val="0"/>
          <w:numId w:val="20"/>
        </w:numPr>
        <w:ind w:hanging="730"/>
        <w:rPr>
          <w:rFonts w:ascii="Arial" w:hAnsi="Arial" w:cs="Arial"/>
        </w:rPr>
      </w:pPr>
      <w:r w:rsidRPr="00017CB3">
        <w:rPr>
          <w:rFonts w:ascii="Arial" w:hAnsi="Arial" w:cs="Arial"/>
        </w:rPr>
        <w:t xml:space="preserve">Motions to continue (including motions to vacate or reset) hearings and trials will be determined pursuant to </w:t>
      </w:r>
      <w:r w:rsidRPr="00017CB3">
        <w:rPr>
          <w:rFonts w:ascii="Arial" w:hAnsi="Arial" w:cs="Arial"/>
          <w:i/>
        </w:rPr>
        <w:t>United States v. West</w:t>
      </w:r>
      <w:r w:rsidRPr="00017CB3">
        <w:rPr>
          <w:rFonts w:ascii="Arial" w:hAnsi="Arial" w:cs="Arial"/>
        </w:rPr>
        <w:t>, 828 F.2d 1468, 1469-70 (10th Cir. 1987) unless a party seeks to continue a hearing or trial outside the Speedy Trial Act deadlines, in which case it will be decided pursuant to the Speedy Trial Act. Oral or written motions to continue should not be made at the time of a hearing or trial. Stipulations for continuance are not effective unless approved by the Court. When a motion to continue is granted, all parties will be notified as soon as practicable.</w:t>
      </w:r>
    </w:p>
    <w:p w14:paraId="3B170C0A" w14:textId="77777777" w:rsidR="009B363D" w:rsidRPr="00017CB3" w:rsidRDefault="009B363D" w:rsidP="009B363D">
      <w:pPr>
        <w:pStyle w:val="BodyText"/>
        <w:spacing w:before="4"/>
        <w:rPr>
          <w:rFonts w:ascii="Arial" w:hAnsi="Arial" w:cs="Arial"/>
        </w:rPr>
      </w:pPr>
    </w:p>
    <w:p w14:paraId="7E35AA01"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Motions for Extensions of</w:t>
      </w:r>
      <w:r w:rsidRPr="00017CB3">
        <w:rPr>
          <w:rFonts w:cs="Arial"/>
          <w:spacing w:val="1"/>
        </w:rPr>
        <w:t xml:space="preserve"> </w:t>
      </w:r>
      <w:r w:rsidRPr="00017CB3">
        <w:rPr>
          <w:rFonts w:cs="Arial"/>
        </w:rPr>
        <w:t>Time</w:t>
      </w:r>
    </w:p>
    <w:p w14:paraId="6BC7E86A" w14:textId="77777777" w:rsidR="009B363D" w:rsidRPr="00017CB3" w:rsidRDefault="009B363D" w:rsidP="009B363D">
      <w:pPr>
        <w:pStyle w:val="BodyText"/>
        <w:spacing w:before="9"/>
        <w:rPr>
          <w:rFonts w:ascii="Arial" w:hAnsi="Arial" w:cs="Arial"/>
          <w:b/>
        </w:rPr>
      </w:pPr>
    </w:p>
    <w:p w14:paraId="6F2C14AE" w14:textId="77777777" w:rsidR="009B363D" w:rsidRPr="00017CB3" w:rsidRDefault="009B363D" w:rsidP="009B363D">
      <w:pPr>
        <w:pStyle w:val="ListParagraph"/>
        <w:numPr>
          <w:ilvl w:val="0"/>
          <w:numId w:val="21"/>
        </w:numPr>
        <w:ind w:hanging="730"/>
        <w:rPr>
          <w:rFonts w:ascii="Arial" w:hAnsi="Arial" w:cs="Arial"/>
        </w:rPr>
      </w:pPr>
      <w:r w:rsidRPr="00017CB3">
        <w:rPr>
          <w:rFonts w:ascii="Arial" w:hAnsi="Arial" w:cs="Arial"/>
        </w:rPr>
        <w:t xml:space="preserve">Motions for extension of time require a showing of good cause, which must be established with particularity. The following reasons do not constitute good cause: agreement of counsel, inconvenience to counsel or to the parties; the </w:t>
      </w:r>
      <w:r w:rsidRPr="00017CB3">
        <w:rPr>
          <w:rFonts w:ascii="Arial" w:hAnsi="Arial" w:cs="Arial"/>
          <w:spacing w:val="-4"/>
        </w:rPr>
        <w:t xml:space="preserve">press </w:t>
      </w:r>
      <w:r w:rsidRPr="00017CB3">
        <w:rPr>
          <w:rFonts w:ascii="Arial" w:hAnsi="Arial" w:cs="Arial"/>
        </w:rPr>
        <w:t>of business; conflicts in scheduling; or practice as a sole</w:t>
      </w:r>
      <w:r w:rsidRPr="00017CB3">
        <w:rPr>
          <w:rFonts w:ascii="Arial" w:hAnsi="Arial" w:cs="Arial"/>
          <w:spacing w:val="-2"/>
        </w:rPr>
        <w:t xml:space="preserve"> </w:t>
      </w:r>
      <w:r w:rsidRPr="00017CB3">
        <w:rPr>
          <w:rFonts w:ascii="Arial" w:hAnsi="Arial" w:cs="Arial"/>
        </w:rPr>
        <w:t>practitioner.</w:t>
      </w:r>
    </w:p>
    <w:p w14:paraId="09223FE4" w14:textId="77777777" w:rsidR="009B363D" w:rsidRPr="00017CB3" w:rsidRDefault="009B363D" w:rsidP="009B363D">
      <w:pPr>
        <w:pStyle w:val="BodyText"/>
        <w:spacing w:before="10"/>
        <w:rPr>
          <w:rFonts w:ascii="Arial" w:hAnsi="Arial" w:cs="Arial"/>
        </w:rPr>
      </w:pPr>
    </w:p>
    <w:p w14:paraId="01F9B7DE" w14:textId="77777777" w:rsidR="009B363D" w:rsidRPr="00017CB3" w:rsidRDefault="009B363D" w:rsidP="009B363D">
      <w:pPr>
        <w:pStyle w:val="Heading1"/>
        <w:keepNext w:val="0"/>
        <w:keepLines w:val="0"/>
        <w:widowControl w:val="0"/>
        <w:autoSpaceDE w:val="0"/>
        <w:autoSpaceDN w:val="0"/>
        <w:spacing w:before="0" w:line="240" w:lineRule="auto"/>
        <w:ind w:left="820" w:hanging="360"/>
        <w:rPr>
          <w:rFonts w:cs="Arial"/>
        </w:rPr>
      </w:pPr>
      <w:r w:rsidRPr="00017CB3">
        <w:rPr>
          <w:rFonts w:cs="Arial"/>
        </w:rPr>
        <w:t>COURTROOM</w:t>
      </w:r>
      <w:r w:rsidRPr="00017CB3">
        <w:rPr>
          <w:rFonts w:cs="Arial"/>
          <w:spacing w:val="-1"/>
        </w:rPr>
        <w:t xml:space="preserve"> </w:t>
      </w:r>
      <w:r w:rsidRPr="00017CB3">
        <w:rPr>
          <w:rFonts w:cs="Arial"/>
        </w:rPr>
        <w:t>PROCEDURES</w:t>
      </w:r>
    </w:p>
    <w:p w14:paraId="640F6F4D" w14:textId="77777777" w:rsidR="009B363D" w:rsidRPr="00017CB3" w:rsidRDefault="009B363D" w:rsidP="009B363D">
      <w:pPr>
        <w:pStyle w:val="BodyText"/>
        <w:spacing w:before="3"/>
        <w:rPr>
          <w:rFonts w:ascii="Arial" w:hAnsi="Arial" w:cs="Arial"/>
          <w:b/>
          <w:sz w:val="25"/>
        </w:rPr>
      </w:pPr>
    </w:p>
    <w:p w14:paraId="3F2DCAE5" w14:textId="77777777" w:rsidR="009B363D" w:rsidRPr="00017CB3" w:rsidRDefault="009B363D" w:rsidP="009B363D">
      <w:pPr>
        <w:pStyle w:val="Heading2"/>
        <w:widowControl w:val="0"/>
        <w:numPr>
          <w:ilvl w:val="0"/>
          <w:numId w:val="22"/>
        </w:numPr>
        <w:autoSpaceDE w:val="0"/>
        <w:autoSpaceDN w:val="0"/>
        <w:spacing w:line="240" w:lineRule="auto"/>
        <w:rPr>
          <w:rFonts w:cs="Arial"/>
        </w:rPr>
      </w:pPr>
      <w:r w:rsidRPr="00017CB3">
        <w:rPr>
          <w:rFonts w:cs="Arial"/>
        </w:rPr>
        <w:t>Courtroom</w:t>
      </w:r>
      <w:r w:rsidRPr="00017CB3">
        <w:rPr>
          <w:rFonts w:cs="Arial"/>
          <w:spacing w:val="-7"/>
        </w:rPr>
        <w:t xml:space="preserve"> </w:t>
      </w:r>
      <w:r w:rsidRPr="00017CB3">
        <w:rPr>
          <w:rFonts w:cs="Arial"/>
        </w:rPr>
        <w:t>Protocol</w:t>
      </w:r>
    </w:p>
    <w:p w14:paraId="5ACD8F94" w14:textId="77777777" w:rsidR="009B363D" w:rsidRPr="00017CB3" w:rsidRDefault="009B363D" w:rsidP="009B363D">
      <w:pPr>
        <w:pStyle w:val="BodyText"/>
        <w:spacing w:before="9"/>
        <w:rPr>
          <w:rFonts w:ascii="Arial" w:hAnsi="Arial" w:cs="Arial"/>
          <w:b/>
        </w:rPr>
      </w:pPr>
    </w:p>
    <w:p w14:paraId="1B09F92F" w14:textId="77777777" w:rsidR="009B363D" w:rsidRPr="00017CB3" w:rsidRDefault="009B363D" w:rsidP="009B363D">
      <w:pPr>
        <w:pStyle w:val="ListParagraph"/>
        <w:numPr>
          <w:ilvl w:val="1"/>
          <w:numId w:val="5"/>
        </w:numPr>
        <w:spacing w:before="1" w:line="247" w:lineRule="auto"/>
        <w:ind w:right="239"/>
        <w:rPr>
          <w:rFonts w:ascii="Arial" w:hAnsi="Arial" w:cs="Arial"/>
        </w:rPr>
      </w:pPr>
      <w:r w:rsidRPr="00017CB3">
        <w:rPr>
          <w:rFonts w:ascii="Arial" w:hAnsi="Arial" w:cs="Arial"/>
        </w:rPr>
        <w:t>Please observe traditional courtroom decorum: stand when addressing the</w:t>
      </w:r>
      <w:r w:rsidRPr="00017CB3">
        <w:rPr>
          <w:rFonts w:ascii="Arial" w:hAnsi="Arial" w:cs="Arial"/>
          <w:spacing w:val="-23"/>
        </w:rPr>
        <w:t xml:space="preserve"> </w:t>
      </w:r>
      <w:r w:rsidRPr="00017CB3">
        <w:rPr>
          <w:rFonts w:ascii="Arial" w:hAnsi="Arial" w:cs="Arial"/>
        </w:rPr>
        <w:t xml:space="preserve">Court, address the Court as “Your Honor,” and request permission to </w:t>
      </w:r>
      <w:r w:rsidRPr="00017CB3">
        <w:rPr>
          <w:rFonts w:ascii="Arial" w:hAnsi="Arial" w:cs="Arial"/>
        </w:rPr>
        <w:lastRenderedPageBreak/>
        <w:t xml:space="preserve">approach the bench. </w:t>
      </w:r>
      <w:r w:rsidRPr="00017CB3">
        <w:rPr>
          <w:rFonts w:ascii="Arial" w:hAnsi="Arial" w:cs="Arial"/>
          <w:spacing w:val="-4"/>
        </w:rPr>
        <w:t xml:space="preserve">It </w:t>
      </w:r>
      <w:r w:rsidRPr="00017CB3">
        <w:rPr>
          <w:rFonts w:ascii="Arial" w:hAnsi="Arial" w:cs="Arial"/>
        </w:rPr>
        <w:t xml:space="preserve">will not normally be necessary for counsel to approach a witness on </w:t>
      </w:r>
      <w:r w:rsidRPr="00017CB3">
        <w:rPr>
          <w:rFonts w:ascii="Arial" w:hAnsi="Arial" w:cs="Arial"/>
          <w:spacing w:val="-6"/>
        </w:rPr>
        <w:t xml:space="preserve">the </w:t>
      </w:r>
      <w:r w:rsidRPr="00017CB3">
        <w:rPr>
          <w:rFonts w:ascii="Arial" w:hAnsi="Arial" w:cs="Arial"/>
        </w:rPr>
        <w:t>stand. The Courtroom Deputy, upon request of counsel, will hand a witness an exhibit.</w:t>
      </w:r>
    </w:p>
    <w:p w14:paraId="68A9406F" w14:textId="77777777" w:rsidR="009B363D" w:rsidRPr="00017CB3" w:rsidRDefault="009B363D" w:rsidP="009B363D">
      <w:pPr>
        <w:pStyle w:val="BodyText"/>
        <w:spacing w:before="1"/>
        <w:rPr>
          <w:rFonts w:ascii="Arial" w:hAnsi="Arial" w:cs="Arial"/>
        </w:rPr>
      </w:pPr>
    </w:p>
    <w:p w14:paraId="4019E3A7" w14:textId="0AC48BF9"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spacing w:val="-3"/>
        </w:rPr>
        <w:t xml:space="preserve">If </w:t>
      </w:r>
      <w:r w:rsidRPr="00017CB3">
        <w:rPr>
          <w:rFonts w:ascii="Arial" w:hAnsi="Arial" w:cs="Arial"/>
        </w:rPr>
        <w:t>you</w:t>
      </w:r>
      <w:r w:rsidRPr="00017CB3">
        <w:rPr>
          <w:rFonts w:ascii="Arial" w:hAnsi="Arial" w:cs="Arial"/>
          <w:spacing w:val="-3"/>
        </w:rPr>
        <w:t xml:space="preserve"> </w:t>
      </w:r>
      <w:r w:rsidRPr="00017CB3">
        <w:rPr>
          <w:rFonts w:ascii="Arial" w:hAnsi="Arial" w:cs="Arial"/>
        </w:rPr>
        <w:t>have a question about courtroom protocol, please contact my</w:t>
      </w:r>
      <w:r w:rsidRPr="00017CB3">
        <w:rPr>
          <w:rFonts w:ascii="Arial" w:hAnsi="Arial" w:cs="Arial"/>
          <w:spacing w:val="-24"/>
        </w:rPr>
        <w:t xml:space="preserve"> </w:t>
      </w:r>
      <w:r w:rsidRPr="00017CB3">
        <w:rPr>
          <w:rFonts w:ascii="Arial" w:hAnsi="Arial" w:cs="Arial"/>
        </w:rPr>
        <w:t xml:space="preserve">Courtroom Deputy, </w:t>
      </w:r>
      <w:r w:rsidR="001D7C3D">
        <w:rPr>
          <w:rFonts w:ascii="Arial" w:hAnsi="Arial" w:cs="Arial"/>
        </w:rPr>
        <w:t>Kally Myhaver,</w:t>
      </w:r>
      <w:r w:rsidRPr="00017CB3">
        <w:rPr>
          <w:rFonts w:ascii="Arial" w:hAnsi="Arial" w:cs="Arial"/>
        </w:rPr>
        <w:t xml:space="preserve"> at</w:t>
      </w:r>
      <w:r w:rsidRPr="00017CB3">
        <w:rPr>
          <w:rFonts w:ascii="Arial" w:hAnsi="Arial" w:cs="Arial"/>
          <w:spacing w:val="-10"/>
        </w:rPr>
        <w:t xml:space="preserve"> </w:t>
      </w:r>
      <w:r w:rsidR="001D7C3D" w:rsidRPr="001D7C3D">
        <w:rPr>
          <w:rFonts w:ascii="Arial" w:hAnsi="Arial" w:cs="Arial"/>
        </w:rPr>
        <w:t>kally_myhaver@cod.uscourts.gov</w:t>
      </w:r>
      <w:r w:rsidRPr="00017CB3">
        <w:rPr>
          <w:rFonts w:ascii="Arial" w:hAnsi="Arial" w:cs="Arial"/>
        </w:rPr>
        <w:t>.</w:t>
      </w:r>
    </w:p>
    <w:p w14:paraId="3C3F44C7" w14:textId="77777777" w:rsidR="009B363D" w:rsidRPr="00017CB3" w:rsidRDefault="009B363D" w:rsidP="009B363D">
      <w:pPr>
        <w:spacing w:line="247" w:lineRule="auto"/>
        <w:rPr>
          <w:rFonts w:cs="Arial"/>
        </w:rPr>
      </w:pPr>
    </w:p>
    <w:p w14:paraId="623E483A"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Recording of Proceedings</w:t>
      </w:r>
    </w:p>
    <w:p w14:paraId="0A65D348" w14:textId="77777777" w:rsidR="009B363D" w:rsidRPr="00017CB3" w:rsidRDefault="009B363D" w:rsidP="009B363D">
      <w:pPr>
        <w:pStyle w:val="ListParagraph"/>
        <w:numPr>
          <w:ilvl w:val="0"/>
          <w:numId w:val="23"/>
        </w:numPr>
        <w:ind w:hanging="730"/>
        <w:rPr>
          <w:rFonts w:ascii="Arial" w:hAnsi="Arial" w:cs="Arial"/>
        </w:rPr>
      </w:pPr>
      <w:r w:rsidRPr="00017CB3">
        <w:rPr>
          <w:rFonts w:ascii="Arial" w:hAnsi="Arial" w:cs="Arial"/>
        </w:rPr>
        <w:t>The realtime reporter assigned to the court is Terri Lindblom. Transcripts of proceedings may be ordered from Ms. Lindblom at terri_lindblom@cod.uscourts.gov.  Requests for daily transcripts should be made at least thirty (30) days before the trial or hearing.  Requests for realtime should be made no later than seven (7) days prior to the trial or hearing. Further details can be obtained from Ms. Lindblom.</w:t>
      </w:r>
    </w:p>
    <w:p w14:paraId="7F672E72" w14:textId="77777777" w:rsidR="009B363D" w:rsidRPr="00017CB3" w:rsidRDefault="009B363D" w:rsidP="009B363D">
      <w:pPr>
        <w:pStyle w:val="ListParagraph"/>
        <w:numPr>
          <w:ilvl w:val="0"/>
          <w:numId w:val="0"/>
        </w:numPr>
        <w:ind w:left="1080"/>
        <w:rPr>
          <w:rFonts w:ascii="Arial" w:hAnsi="Arial" w:cs="Arial"/>
        </w:rPr>
      </w:pPr>
    </w:p>
    <w:p w14:paraId="346DBB95"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Exhibits</w:t>
      </w:r>
    </w:p>
    <w:p w14:paraId="70C219D1" w14:textId="77777777" w:rsidR="009B363D" w:rsidRPr="00017CB3" w:rsidRDefault="009B363D" w:rsidP="009B363D">
      <w:pPr>
        <w:pStyle w:val="ListParagraph"/>
        <w:ind w:left="1620" w:hanging="900"/>
        <w:rPr>
          <w:rFonts w:ascii="Arial" w:hAnsi="Arial" w:cs="Arial"/>
        </w:rPr>
      </w:pPr>
      <w:r w:rsidRPr="00017CB3">
        <w:rPr>
          <w:rFonts w:ascii="Arial" w:hAnsi="Arial" w:cs="Arial"/>
        </w:rPr>
        <w:t xml:space="preserve">Motions Hearings: </w:t>
      </w:r>
    </w:p>
    <w:p w14:paraId="61656D32" w14:textId="77777777" w:rsidR="009B363D" w:rsidRPr="00017CB3" w:rsidRDefault="009B363D" w:rsidP="009B363D">
      <w:pPr>
        <w:pStyle w:val="Heading3"/>
        <w:widowControl w:val="0"/>
        <w:numPr>
          <w:ilvl w:val="0"/>
          <w:numId w:val="8"/>
        </w:numPr>
        <w:autoSpaceDE w:val="0"/>
        <w:autoSpaceDN w:val="0"/>
        <w:spacing w:line="240" w:lineRule="auto"/>
        <w:ind w:left="2340"/>
        <w:rPr>
          <w:rFonts w:cs="Arial"/>
        </w:rPr>
      </w:pPr>
      <w:r w:rsidRPr="00017CB3">
        <w:rPr>
          <w:rFonts w:cs="Arial"/>
        </w:rPr>
        <w:t>For motions hearings, each party must provide a copy of its</w:t>
      </w:r>
      <w:r w:rsidRPr="00017CB3">
        <w:rPr>
          <w:rFonts w:cs="Arial"/>
          <w:spacing w:val="-41"/>
        </w:rPr>
        <w:t xml:space="preserve"> </w:t>
      </w:r>
      <w:r w:rsidRPr="00017CB3">
        <w:rPr>
          <w:rFonts w:cs="Arial"/>
        </w:rPr>
        <w:t xml:space="preserve">exhibit list and each exhibit to opposing counsel or any pro se party </w:t>
      </w:r>
      <w:r w:rsidRPr="00017CB3">
        <w:rPr>
          <w:rFonts w:cs="Arial"/>
          <w:b/>
          <w:bCs/>
          <w:u w:val="single"/>
        </w:rPr>
        <w:t>two business days</w:t>
      </w:r>
      <w:r w:rsidRPr="00017CB3">
        <w:rPr>
          <w:rFonts w:cs="Arial"/>
        </w:rPr>
        <w:t xml:space="preserve"> before the hearing. </w:t>
      </w:r>
    </w:p>
    <w:p w14:paraId="0B1B0430" w14:textId="77777777" w:rsidR="009B363D" w:rsidRPr="00017CB3" w:rsidRDefault="009B363D" w:rsidP="009B363D">
      <w:pPr>
        <w:pStyle w:val="ListParagraph"/>
        <w:numPr>
          <w:ilvl w:val="0"/>
          <w:numId w:val="13"/>
        </w:numPr>
        <w:tabs>
          <w:tab w:val="left" w:pos="1530"/>
        </w:tabs>
        <w:ind w:left="1710" w:hanging="990"/>
        <w:rPr>
          <w:rFonts w:ascii="Arial" w:hAnsi="Arial" w:cs="Arial"/>
        </w:rPr>
      </w:pPr>
      <w:r w:rsidRPr="00017CB3">
        <w:rPr>
          <w:rFonts w:ascii="Arial" w:hAnsi="Arial" w:cs="Arial"/>
        </w:rPr>
        <w:t>Trial</w:t>
      </w:r>
    </w:p>
    <w:p w14:paraId="267C63EE" w14:textId="77777777" w:rsidR="009B363D" w:rsidRPr="00017CB3" w:rsidRDefault="009B363D" w:rsidP="009B363D">
      <w:pPr>
        <w:pStyle w:val="Heading3"/>
        <w:widowControl w:val="0"/>
        <w:numPr>
          <w:ilvl w:val="0"/>
          <w:numId w:val="9"/>
        </w:numPr>
        <w:autoSpaceDE w:val="0"/>
        <w:autoSpaceDN w:val="0"/>
        <w:spacing w:line="240" w:lineRule="auto"/>
        <w:ind w:left="2340"/>
        <w:rPr>
          <w:rFonts w:cs="Arial"/>
        </w:rPr>
      </w:pPr>
      <w:r w:rsidRPr="00017CB3">
        <w:rPr>
          <w:rFonts w:cs="Arial"/>
        </w:rPr>
        <w:t xml:space="preserve">For trial, the Government must provide a copy of its exhibits to Chambers no later than </w:t>
      </w:r>
      <w:r w:rsidRPr="00017CB3">
        <w:rPr>
          <w:rFonts w:cs="Arial"/>
          <w:b/>
          <w:bCs/>
          <w:u w:val="single"/>
        </w:rPr>
        <w:t xml:space="preserve">two business </w:t>
      </w:r>
      <w:r w:rsidRPr="00017CB3">
        <w:rPr>
          <w:rFonts w:cs="Arial"/>
          <w:b/>
          <w:bCs/>
          <w:spacing w:val="-3"/>
          <w:u w:val="single"/>
        </w:rPr>
        <w:t>days</w:t>
      </w:r>
      <w:r w:rsidRPr="00017CB3">
        <w:rPr>
          <w:rFonts w:cs="Arial"/>
          <w:spacing w:val="-3"/>
        </w:rPr>
        <w:t xml:space="preserve"> </w:t>
      </w:r>
      <w:r w:rsidRPr="00017CB3">
        <w:rPr>
          <w:rFonts w:cs="Arial"/>
        </w:rPr>
        <w:t xml:space="preserve">prior to trial. This requirement applies to a defendant if he or she has identified exhibits for trial. </w:t>
      </w:r>
    </w:p>
    <w:p w14:paraId="0D1267AC" w14:textId="77777777" w:rsidR="009B363D" w:rsidRPr="00017CB3" w:rsidRDefault="009B363D" w:rsidP="009B363D">
      <w:pPr>
        <w:pStyle w:val="BodyText"/>
        <w:spacing w:before="3"/>
        <w:rPr>
          <w:rFonts w:ascii="Arial" w:hAnsi="Arial" w:cs="Arial"/>
        </w:rPr>
      </w:pPr>
    </w:p>
    <w:p w14:paraId="161FEC88" w14:textId="77777777" w:rsidR="009B363D" w:rsidRPr="00017CB3" w:rsidRDefault="009B363D" w:rsidP="009B363D">
      <w:pPr>
        <w:pStyle w:val="ListParagraph"/>
        <w:numPr>
          <w:ilvl w:val="0"/>
          <w:numId w:val="13"/>
        </w:numPr>
        <w:ind w:hanging="820"/>
        <w:rPr>
          <w:rFonts w:ascii="Arial" w:hAnsi="Arial" w:cs="Arial"/>
        </w:rPr>
      </w:pPr>
      <w:r w:rsidRPr="00017CB3">
        <w:rPr>
          <w:rFonts w:ascii="Arial" w:hAnsi="Arial" w:cs="Arial"/>
        </w:rPr>
        <w:t xml:space="preserve">Each party must pre-mark all exhibits that will be used or identified in a </w:t>
      </w:r>
      <w:r w:rsidRPr="00017CB3">
        <w:rPr>
          <w:rFonts w:ascii="Arial" w:hAnsi="Arial" w:cs="Arial"/>
          <w:spacing w:val="-3"/>
        </w:rPr>
        <w:t xml:space="preserve">hearing </w:t>
      </w:r>
      <w:r w:rsidRPr="00017CB3">
        <w:rPr>
          <w:rFonts w:ascii="Arial" w:hAnsi="Arial" w:cs="Arial"/>
        </w:rPr>
        <w:t>or trial. Exhibits not timely pre-marked or exchanged before a hearing or trial may not be</w:t>
      </w:r>
      <w:r w:rsidRPr="00017CB3">
        <w:rPr>
          <w:rFonts w:ascii="Arial" w:hAnsi="Arial" w:cs="Arial"/>
          <w:spacing w:val="-8"/>
        </w:rPr>
        <w:t xml:space="preserve"> </w:t>
      </w:r>
      <w:r w:rsidRPr="00017CB3">
        <w:rPr>
          <w:rFonts w:ascii="Arial" w:hAnsi="Arial" w:cs="Arial"/>
        </w:rPr>
        <w:t>admitted.</w:t>
      </w:r>
    </w:p>
    <w:p w14:paraId="61C1D5FA" w14:textId="77777777" w:rsidR="009B363D" w:rsidRPr="00017CB3" w:rsidRDefault="009B363D" w:rsidP="009B363D">
      <w:pPr>
        <w:pStyle w:val="ListParagraph"/>
        <w:numPr>
          <w:ilvl w:val="0"/>
          <w:numId w:val="13"/>
        </w:numPr>
        <w:ind w:hanging="820"/>
        <w:rPr>
          <w:rFonts w:ascii="Arial" w:hAnsi="Arial" w:cs="Arial"/>
          <w:lang w:bidi="ar-SA"/>
        </w:rPr>
      </w:pPr>
      <w:r w:rsidRPr="00017CB3">
        <w:rPr>
          <w:rFonts w:ascii="Arial" w:hAnsi="Arial" w:cs="Arial"/>
        </w:rPr>
        <w:t>Exhibits must be bound, e.g., in three-ring notebooks or folders, and the notebook or folder labeled with the following information: (i) caption, (ii) nature of proceeding, (iii) scheduled date and time, and (iv) “original” or “copy.”  If exhibits are not bound and labeled properly, the hearing or trial may be delayed or continued until they are.</w:t>
      </w:r>
    </w:p>
    <w:p w14:paraId="643AB6FA" w14:textId="77777777" w:rsidR="009B363D" w:rsidRPr="00017CB3" w:rsidRDefault="009B363D" w:rsidP="009B363D">
      <w:pPr>
        <w:pStyle w:val="ListParagraph"/>
        <w:numPr>
          <w:ilvl w:val="0"/>
          <w:numId w:val="13"/>
        </w:numPr>
        <w:ind w:hanging="820"/>
        <w:rPr>
          <w:rFonts w:ascii="Arial" w:hAnsi="Arial" w:cs="Arial"/>
        </w:rPr>
      </w:pPr>
      <w:r w:rsidRPr="00017CB3">
        <w:rPr>
          <w:rFonts w:ascii="Arial" w:hAnsi="Arial" w:cs="Arial"/>
        </w:rPr>
        <w:t xml:space="preserve">Number of Sets of Exhibits </w:t>
      </w:r>
    </w:p>
    <w:p w14:paraId="3B8A88E3" w14:textId="77777777" w:rsidR="009B363D" w:rsidRPr="00017CB3" w:rsidRDefault="009B363D" w:rsidP="009B363D">
      <w:pPr>
        <w:pStyle w:val="Heading3"/>
        <w:widowControl w:val="0"/>
        <w:numPr>
          <w:ilvl w:val="0"/>
          <w:numId w:val="11"/>
        </w:numPr>
        <w:autoSpaceDE w:val="0"/>
        <w:autoSpaceDN w:val="0"/>
        <w:spacing w:line="240" w:lineRule="auto"/>
        <w:ind w:left="2430"/>
        <w:rPr>
          <w:rFonts w:cs="Arial"/>
        </w:rPr>
      </w:pPr>
      <w:r w:rsidRPr="00017CB3">
        <w:rPr>
          <w:rFonts w:cs="Arial"/>
        </w:rPr>
        <w:lastRenderedPageBreak/>
        <w:t>For hearings, separate sets of bound exhibits must be brought to the hearing for (1) the court; (2) the law clerk; and (3) the witness stand.</w:t>
      </w:r>
    </w:p>
    <w:p w14:paraId="4CB22DCD" w14:textId="77777777" w:rsidR="009B363D" w:rsidRPr="00017CB3" w:rsidRDefault="009B363D" w:rsidP="009B363D">
      <w:pPr>
        <w:pStyle w:val="Heading3"/>
        <w:widowControl w:val="0"/>
        <w:numPr>
          <w:ilvl w:val="0"/>
          <w:numId w:val="8"/>
        </w:numPr>
        <w:autoSpaceDE w:val="0"/>
        <w:autoSpaceDN w:val="0"/>
        <w:spacing w:line="240" w:lineRule="auto"/>
        <w:ind w:left="2430"/>
        <w:rPr>
          <w:rFonts w:cs="Arial"/>
        </w:rPr>
      </w:pPr>
      <w:r w:rsidRPr="00017CB3">
        <w:rPr>
          <w:rFonts w:cs="Arial"/>
        </w:rPr>
        <w:t xml:space="preserve">For trials, the </w:t>
      </w:r>
      <w:r w:rsidRPr="00017CB3">
        <w:rPr>
          <w:rFonts w:cs="Arial"/>
          <w:b/>
          <w:bCs/>
        </w:rPr>
        <w:t>Trial Preparation Conference Order</w:t>
      </w:r>
      <w:r w:rsidRPr="00017CB3">
        <w:rPr>
          <w:rFonts w:cs="Arial"/>
        </w:rPr>
        <w:t xml:space="preserve"> will specify the number of sets of exhibits.</w:t>
      </w:r>
    </w:p>
    <w:p w14:paraId="6A93FA4C" w14:textId="75D1D7A7" w:rsidR="009B363D" w:rsidRPr="00017CB3" w:rsidRDefault="009B363D" w:rsidP="009B363D">
      <w:pPr>
        <w:pStyle w:val="ListParagraph"/>
        <w:numPr>
          <w:ilvl w:val="0"/>
          <w:numId w:val="13"/>
        </w:numPr>
        <w:ind w:hanging="820"/>
        <w:rPr>
          <w:rFonts w:ascii="Arial" w:hAnsi="Arial" w:cs="Arial"/>
        </w:rPr>
      </w:pPr>
      <w:r w:rsidRPr="00017CB3">
        <w:rPr>
          <w:rFonts w:ascii="Arial" w:hAnsi="Arial" w:cs="Arial"/>
        </w:rPr>
        <w:t xml:space="preserve">Before any hearing or trial, each party shall submit to the courtroom deputy clerk an original and two copies of the Witness List and Exhibit List.  </w:t>
      </w:r>
    </w:p>
    <w:p w14:paraId="49F613DE" w14:textId="77777777" w:rsidR="009B363D" w:rsidRPr="00017CB3" w:rsidRDefault="009B363D" w:rsidP="009B363D">
      <w:pPr>
        <w:pStyle w:val="BodyText"/>
        <w:spacing w:before="4"/>
        <w:rPr>
          <w:rFonts w:ascii="Arial" w:hAnsi="Arial" w:cs="Arial"/>
        </w:rPr>
      </w:pPr>
    </w:p>
    <w:p w14:paraId="006518D3"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Witness Lists</w:t>
      </w:r>
    </w:p>
    <w:p w14:paraId="4175FCB7" w14:textId="77777777" w:rsidR="009B363D" w:rsidRPr="00017CB3" w:rsidRDefault="009B363D" w:rsidP="009B363D">
      <w:pPr>
        <w:pStyle w:val="BodyText"/>
        <w:spacing w:before="10"/>
        <w:ind w:right="7600"/>
        <w:rPr>
          <w:rFonts w:ascii="Arial" w:hAnsi="Arial" w:cs="Arial"/>
          <w:b/>
        </w:rPr>
      </w:pPr>
    </w:p>
    <w:p w14:paraId="666CDCCF" w14:textId="77777777" w:rsidR="009B363D" w:rsidRPr="00017CB3" w:rsidRDefault="009B363D" w:rsidP="009B363D">
      <w:pPr>
        <w:pStyle w:val="ListParagraph"/>
        <w:numPr>
          <w:ilvl w:val="0"/>
          <w:numId w:val="24"/>
        </w:numPr>
        <w:spacing w:line="247" w:lineRule="auto"/>
        <w:ind w:right="40" w:hanging="820"/>
        <w:rPr>
          <w:rFonts w:ascii="Arial" w:hAnsi="Arial" w:cs="Arial"/>
        </w:rPr>
      </w:pPr>
      <w:r w:rsidRPr="00017CB3">
        <w:rPr>
          <w:rFonts w:ascii="Arial" w:hAnsi="Arial" w:cs="Arial"/>
        </w:rPr>
        <w:t xml:space="preserve">Motions hearings: </w:t>
      </w:r>
    </w:p>
    <w:p w14:paraId="795FE1BD" w14:textId="77777777" w:rsidR="009B363D" w:rsidRPr="00017CB3" w:rsidRDefault="009B363D" w:rsidP="009B363D">
      <w:pPr>
        <w:pStyle w:val="Heading3"/>
        <w:widowControl w:val="0"/>
        <w:numPr>
          <w:ilvl w:val="0"/>
          <w:numId w:val="25"/>
        </w:numPr>
        <w:autoSpaceDE w:val="0"/>
        <w:autoSpaceDN w:val="0"/>
        <w:spacing w:line="240" w:lineRule="auto"/>
        <w:ind w:left="2520"/>
        <w:rPr>
          <w:rFonts w:cs="Arial"/>
        </w:rPr>
      </w:pPr>
      <w:r w:rsidRPr="00017CB3">
        <w:rPr>
          <w:rFonts w:cs="Arial"/>
        </w:rPr>
        <w:t xml:space="preserve"> For motions hearings, witness lists should be filed via CM-ECF two business days before the hearing. For trials, see Section IV.A. concerning </w:t>
      </w:r>
      <w:r w:rsidRPr="00017CB3">
        <w:rPr>
          <w:rFonts w:cs="Arial"/>
          <w:spacing w:val="-5"/>
        </w:rPr>
        <w:t xml:space="preserve">the </w:t>
      </w:r>
      <w:r w:rsidRPr="00017CB3">
        <w:rPr>
          <w:rFonts w:cs="Arial"/>
        </w:rPr>
        <w:t>Trial Preparation Conference.</w:t>
      </w:r>
    </w:p>
    <w:p w14:paraId="6E64091E" w14:textId="77777777" w:rsidR="009B363D" w:rsidRPr="00017CB3" w:rsidRDefault="009B363D" w:rsidP="009B363D">
      <w:pPr>
        <w:pStyle w:val="BodyText"/>
        <w:spacing w:before="4"/>
        <w:rPr>
          <w:rFonts w:ascii="Arial" w:hAnsi="Arial" w:cs="Arial"/>
        </w:rPr>
      </w:pPr>
    </w:p>
    <w:p w14:paraId="0EBEAEAD" w14:textId="7437DBD1" w:rsidR="009B363D" w:rsidRPr="00017CB3" w:rsidRDefault="009B363D" w:rsidP="009B363D">
      <w:pPr>
        <w:pStyle w:val="ListParagraph"/>
        <w:numPr>
          <w:ilvl w:val="0"/>
          <w:numId w:val="24"/>
        </w:numPr>
        <w:spacing w:line="247" w:lineRule="auto"/>
        <w:ind w:right="133"/>
        <w:rPr>
          <w:rFonts w:ascii="Arial" w:hAnsi="Arial" w:cs="Arial"/>
        </w:rPr>
      </w:pPr>
      <w:r w:rsidRPr="00017CB3">
        <w:rPr>
          <w:rFonts w:ascii="Arial" w:hAnsi="Arial" w:cs="Arial"/>
        </w:rPr>
        <w:t xml:space="preserve">Format – </w:t>
      </w:r>
      <w:r w:rsidRPr="0042751C">
        <w:rPr>
          <w:rFonts w:ascii="Arial" w:hAnsi="Arial" w:cs="Arial"/>
        </w:rPr>
        <w:t xml:space="preserve">Parties should use the form of witness list available on the District </w:t>
      </w:r>
      <w:r w:rsidRPr="0042751C">
        <w:rPr>
          <w:rFonts w:ascii="Arial" w:hAnsi="Arial" w:cs="Arial"/>
          <w:spacing w:val="-4"/>
        </w:rPr>
        <w:t xml:space="preserve">Court </w:t>
      </w:r>
      <w:r w:rsidRPr="0042751C">
        <w:rPr>
          <w:rFonts w:ascii="Arial" w:hAnsi="Arial" w:cs="Arial"/>
        </w:rPr>
        <w:t>website</w:t>
      </w:r>
    </w:p>
    <w:p w14:paraId="443FD02E" w14:textId="77777777" w:rsidR="009B363D" w:rsidRPr="00017CB3" w:rsidRDefault="009B363D" w:rsidP="009B363D">
      <w:pPr>
        <w:pStyle w:val="BodyText"/>
        <w:rPr>
          <w:rFonts w:ascii="Arial" w:hAnsi="Arial" w:cs="Arial"/>
        </w:rPr>
      </w:pPr>
    </w:p>
    <w:p w14:paraId="5F224A6D" w14:textId="77777777" w:rsidR="009B363D" w:rsidRPr="00017CB3" w:rsidRDefault="009B363D" w:rsidP="009B363D">
      <w:pPr>
        <w:pStyle w:val="BodyText"/>
        <w:spacing w:before="2"/>
        <w:rPr>
          <w:rFonts w:ascii="Arial" w:hAnsi="Arial" w:cs="Arial"/>
          <w:sz w:val="25"/>
        </w:rPr>
      </w:pPr>
    </w:p>
    <w:p w14:paraId="418E3002" w14:textId="77777777" w:rsidR="009B363D" w:rsidRPr="00017CB3" w:rsidRDefault="009B363D" w:rsidP="009B363D">
      <w:pPr>
        <w:pStyle w:val="Heading1"/>
        <w:keepNext w:val="0"/>
        <w:keepLines w:val="0"/>
        <w:widowControl w:val="0"/>
        <w:autoSpaceDE w:val="0"/>
        <w:autoSpaceDN w:val="0"/>
        <w:spacing w:before="0" w:line="240" w:lineRule="auto"/>
        <w:ind w:left="820" w:hanging="360"/>
        <w:rPr>
          <w:rFonts w:cs="Arial"/>
        </w:rPr>
      </w:pPr>
      <w:r w:rsidRPr="00017CB3">
        <w:rPr>
          <w:rFonts w:cs="Arial"/>
        </w:rPr>
        <w:t>MOTIONS</w:t>
      </w:r>
      <w:r w:rsidRPr="00017CB3">
        <w:rPr>
          <w:rFonts w:cs="Arial"/>
          <w:spacing w:val="-1"/>
        </w:rPr>
        <w:t xml:space="preserve"> </w:t>
      </w:r>
      <w:r w:rsidRPr="00017CB3">
        <w:rPr>
          <w:rFonts w:cs="Arial"/>
        </w:rPr>
        <w:t>PRACTICE</w:t>
      </w:r>
    </w:p>
    <w:p w14:paraId="06D49299" w14:textId="77777777" w:rsidR="009B363D" w:rsidRPr="00017CB3" w:rsidRDefault="009B363D" w:rsidP="009B363D">
      <w:pPr>
        <w:pStyle w:val="BodyText"/>
        <w:spacing w:before="3"/>
        <w:rPr>
          <w:rFonts w:ascii="Arial" w:hAnsi="Arial" w:cs="Arial"/>
          <w:b/>
          <w:sz w:val="25"/>
        </w:rPr>
      </w:pPr>
    </w:p>
    <w:p w14:paraId="2408B134" w14:textId="77777777" w:rsidR="009B363D" w:rsidRPr="00017CB3" w:rsidRDefault="009B363D" w:rsidP="009B363D">
      <w:pPr>
        <w:pStyle w:val="Heading2"/>
        <w:widowControl w:val="0"/>
        <w:numPr>
          <w:ilvl w:val="0"/>
          <w:numId w:val="26"/>
        </w:numPr>
        <w:autoSpaceDE w:val="0"/>
        <w:autoSpaceDN w:val="0"/>
        <w:spacing w:line="240" w:lineRule="auto"/>
        <w:rPr>
          <w:rFonts w:cs="Arial"/>
        </w:rPr>
      </w:pPr>
      <w:r w:rsidRPr="00017CB3">
        <w:rPr>
          <w:rFonts w:cs="Arial"/>
        </w:rPr>
        <w:t>General</w:t>
      </w:r>
    </w:p>
    <w:p w14:paraId="7C82E583" w14:textId="77777777" w:rsidR="009B363D" w:rsidRPr="00017CB3" w:rsidRDefault="009B363D" w:rsidP="009B363D">
      <w:pPr>
        <w:pStyle w:val="ListParagraph"/>
        <w:numPr>
          <w:ilvl w:val="0"/>
          <w:numId w:val="12"/>
        </w:numPr>
        <w:ind w:left="1530" w:hanging="720"/>
        <w:rPr>
          <w:rFonts w:ascii="Arial" w:hAnsi="Arial" w:cs="Arial"/>
        </w:rPr>
      </w:pPr>
      <w:r w:rsidRPr="00017CB3">
        <w:rPr>
          <w:rFonts w:ascii="Arial" w:hAnsi="Arial" w:cs="Arial"/>
        </w:rPr>
        <w:t xml:space="preserve">Parties should submit a proposed order with any stipulated, joint, or unopposed motion.  </w:t>
      </w:r>
    </w:p>
    <w:p w14:paraId="44ABD9B0" w14:textId="77777777"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rPr>
        <w:t xml:space="preserve">Motions with separately filed briefs or memoranda in support are discouraged. I prefer the motion itself and all supporting arguments to be contained within a single document. In no event, however, will a separate motion and brief in support thereof be accepted unless they are filed contemporaneously. </w:t>
      </w:r>
    </w:p>
    <w:p w14:paraId="0FCAFB99" w14:textId="77777777"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rPr>
        <w:t xml:space="preserve">Exhibits to a motion, response, or reply must be filed on the same calendar day as the motion, response, or reply. Exhibits filed on a later day may be summarily stricken. </w:t>
      </w:r>
    </w:p>
    <w:p w14:paraId="7922DB12" w14:textId="17841FFB" w:rsidR="009B363D" w:rsidRPr="00017CB3" w:rsidRDefault="009B363D" w:rsidP="009B363D">
      <w:pPr>
        <w:pStyle w:val="ListParagraph"/>
        <w:numPr>
          <w:ilvl w:val="0"/>
          <w:numId w:val="13"/>
        </w:numPr>
        <w:ind w:hanging="730"/>
        <w:rPr>
          <w:rFonts w:ascii="Arial" w:hAnsi="Arial" w:cs="Arial"/>
        </w:rPr>
      </w:pPr>
      <w:r w:rsidRPr="00017CB3">
        <w:rPr>
          <w:rFonts w:ascii="Arial" w:hAnsi="Arial" w:cs="Arial"/>
        </w:rPr>
        <w:t xml:space="preserve">If parties file what they deem to be an “emergency” motion, they </w:t>
      </w:r>
      <w:r w:rsidR="007D6A45">
        <w:rPr>
          <w:rFonts w:ascii="Arial" w:hAnsi="Arial" w:cs="Arial"/>
        </w:rPr>
        <w:t xml:space="preserve">should also </w:t>
      </w:r>
      <w:r w:rsidRPr="00017CB3">
        <w:rPr>
          <w:rFonts w:ascii="Arial" w:hAnsi="Arial" w:cs="Arial"/>
        </w:rPr>
        <w:t xml:space="preserve">email </w:t>
      </w:r>
      <w:r w:rsidR="00D22D14">
        <w:rPr>
          <w:rFonts w:ascii="Arial" w:hAnsi="Arial" w:cs="Arial"/>
        </w:rPr>
        <w:t>chambers at r</w:t>
      </w:r>
      <w:r w:rsidRPr="00017CB3">
        <w:rPr>
          <w:rFonts w:ascii="Arial" w:hAnsi="Arial" w:cs="Arial"/>
        </w:rPr>
        <w:t>odriguez_chambers@cod.uscourts.gov at the time the motion is filed.</w:t>
      </w:r>
    </w:p>
    <w:p w14:paraId="493B2E1C"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Ends of Justice Continuances of Hearings and Trials</w:t>
      </w:r>
    </w:p>
    <w:p w14:paraId="7E64C9A6" w14:textId="77777777" w:rsidR="009B363D" w:rsidRPr="00017CB3" w:rsidRDefault="009B363D" w:rsidP="009B363D">
      <w:pPr>
        <w:pStyle w:val="ListParagraph"/>
        <w:numPr>
          <w:ilvl w:val="0"/>
          <w:numId w:val="34"/>
        </w:numPr>
        <w:ind w:left="1530" w:hanging="720"/>
        <w:rPr>
          <w:rFonts w:ascii="Arial" w:hAnsi="Arial" w:cs="Arial"/>
        </w:rPr>
      </w:pPr>
      <w:r w:rsidRPr="00017CB3">
        <w:rPr>
          <w:rFonts w:ascii="Arial" w:hAnsi="Arial" w:cs="Arial"/>
        </w:rPr>
        <w:t xml:space="preserve">All motions for an ends of justice continuance must: </w:t>
      </w:r>
    </w:p>
    <w:p w14:paraId="7B98F191" w14:textId="6EC20DAA" w:rsidR="009B363D" w:rsidRPr="00017CB3" w:rsidRDefault="009B363D" w:rsidP="009B363D">
      <w:pPr>
        <w:pStyle w:val="Heading3"/>
        <w:widowControl w:val="0"/>
        <w:numPr>
          <w:ilvl w:val="0"/>
          <w:numId w:val="35"/>
        </w:numPr>
        <w:autoSpaceDE w:val="0"/>
        <w:autoSpaceDN w:val="0"/>
        <w:spacing w:line="240" w:lineRule="auto"/>
        <w:ind w:left="2340" w:hanging="540"/>
        <w:rPr>
          <w:rFonts w:cs="Arial"/>
        </w:rPr>
      </w:pPr>
      <w:r w:rsidRPr="00017CB3">
        <w:rPr>
          <w:rFonts w:cs="Arial"/>
        </w:rPr>
        <w:lastRenderedPageBreak/>
        <w:t>Specify the number of days remaining on the speedy trial clock</w:t>
      </w:r>
      <w:r w:rsidR="000825CA">
        <w:rPr>
          <w:rFonts w:cs="Arial"/>
        </w:rPr>
        <w:t xml:space="preserve"> and the date the requesting party belie</w:t>
      </w:r>
      <w:r w:rsidR="007D6A45">
        <w:rPr>
          <w:rFonts w:cs="Arial"/>
        </w:rPr>
        <w:t>ve</w:t>
      </w:r>
      <w:r w:rsidR="000825CA">
        <w:rPr>
          <w:rFonts w:cs="Arial"/>
        </w:rPr>
        <w:t>s the speedy trial clock expires</w:t>
      </w:r>
      <w:r w:rsidR="0042751C">
        <w:rPr>
          <w:rFonts w:cs="Arial"/>
        </w:rPr>
        <w:t>;</w:t>
      </w:r>
    </w:p>
    <w:p w14:paraId="35784914" w14:textId="77777777" w:rsidR="009B363D" w:rsidRPr="00017CB3" w:rsidRDefault="009B363D" w:rsidP="009B363D">
      <w:pPr>
        <w:pStyle w:val="Heading3"/>
        <w:widowControl w:val="0"/>
        <w:numPr>
          <w:ilvl w:val="0"/>
          <w:numId w:val="8"/>
        </w:numPr>
        <w:autoSpaceDE w:val="0"/>
        <w:autoSpaceDN w:val="0"/>
        <w:spacing w:line="240" w:lineRule="auto"/>
        <w:ind w:left="2340" w:hanging="540"/>
        <w:rPr>
          <w:rFonts w:cs="Arial"/>
        </w:rPr>
      </w:pPr>
      <w:r w:rsidRPr="00017CB3">
        <w:rPr>
          <w:rFonts w:cs="Arial"/>
        </w:rPr>
        <w:t>Specify the number of days the party is seeking to exclude;</w:t>
      </w:r>
    </w:p>
    <w:p w14:paraId="6298526A" w14:textId="77777777" w:rsidR="009B363D" w:rsidRPr="00017CB3" w:rsidRDefault="009B363D" w:rsidP="009B363D">
      <w:pPr>
        <w:pStyle w:val="Heading3"/>
        <w:widowControl w:val="0"/>
        <w:numPr>
          <w:ilvl w:val="0"/>
          <w:numId w:val="8"/>
        </w:numPr>
        <w:autoSpaceDE w:val="0"/>
        <w:autoSpaceDN w:val="0"/>
        <w:spacing w:line="240" w:lineRule="auto"/>
        <w:ind w:left="2340" w:hanging="540"/>
        <w:rPr>
          <w:rFonts w:cs="Arial"/>
        </w:rPr>
      </w:pPr>
      <w:r w:rsidRPr="00017CB3">
        <w:rPr>
          <w:rFonts w:cs="Arial"/>
        </w:rPr>
        <w:t xml:space="preserve">Identify which parties join in the motion and which parties object to the motion. </w:t>
      </w:r>
    </w:p>
    <w:p w14:paraId="089E97A9" w14:textId="77777777" w:rsidR="009B363D" w:rsidRPr="00017CB3" w:rsidRDefault="009B363D" w:rsidP="009B363D">
      <w:pPr>
        <w:pStyle w:val="ListParagraph"/>
        <w:numPr>
          <w:ilvl w:val="0"/>
          <w:numId w:val="13"/>
        </w:numPr>
        <w:ind w:hanging="820"/>
        <w:rPr>
          <w:rFonts w:ascii="Arial" w:hAnsi="Arial" w:cs="Arial"/>
        </w:rPr>
      </w:pPr>
      <w:r w:rsidRPr="00017CB3">
        <w:rPr>
          <w:rFonts w:ascii="Arial" w:hAnsi="Arial" w:cs="Arial"/>
        </w:rPr>
        <w:t xml:space="preserve">Any party who objects to the granting of an ends of justice continuance must file their objection within 7 days of the filing of the motion. </w:t>
      </w:r>
    </w:p>
    <w:p w14:paraId="472CD821"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Page Limitations</w:t>
      </w:r>
    </w:p>
    <w:p w14:paraId="1E6C4A80" w14:textId="2266C0EB" w:rsidR="009B363D" w:rsidRPr="00017CB3" w:rsidRDefault="009B363D" w:rsidP="009B363D">
      <w:pPr>
        <w:pStyle w:val="ListParagraph"/>
        <w:numPr>
          <w:ilvl w:val="1"/>
          <w:numId w:val="4"/>
        </w:numPr>
        <w:tabs>
          <w:tab w:val="left" w:pos="1539"/>
          <w:tab w:val="left" w:pos="1540"/>
        </w:tabs>
        <w:spacing w:line="247" w:lineRule="auto"/>
        <w:ind w:right="116"/>
        <w:rPr>
          <w:rFonts w:ascii="Arial" w:hAnsi="Arial" w:cs="Arial"/>
        </w:rPr>
      </w:pPr>
      <w:r w:rsidRPr="00017CB3">
        <w:rPr>
          <w:rFonts w:ascii="Arial" w:hAnsi="Arial" w:cs="Arial"/>
        </w:rPr>
        <w:t xml:space="preserve">All motions, objections, responses, and briefs shall not exceed fifteen pages. Replies shall not exceed ten pages. Motions and briefs shall be combined and </w:t>
      </w:r>
      <w:r w:rsidRPr="00017CB3">
        <w:rPr>
          <w:rFonts w:ascii="Arial" w:hAnsi="Arial" w:cs="Arial"/>
          <w:spacing w:val="-5"/>
        </w:rPr>
        <w:t xml:space="preserve">will </w:t>
      </w:r>
      <w:r w:rsidRPr="00017CB3">
        <w:rPr>
          <w:rFonts w:ascii="Arial" w:hAnsi="Arial" w:cs="Arial"/>
        </w:rPr>
        <w:t>be considered one paper for purposes of computing page limitations. These page limitations include the statement of facts, procedural history, argument, authority, closing, signature block, and all other matters, except the certificate of service. The body of the text and all footnotes shall be no smaller than 12-point</w:t>
      </w:r>
      <w:r w:rsidRPr="00017CB3">
        <w:rPr>
          <w:rFonts w:ascii="Arial" w:hAnsi="Arial" w:cs="Arial"/>
          <w:spacing w:val="-1"/>
        </w:rPr>
        <w:t xml:space="preserve"> </w:t>
      </w:r>
      <w:r w:rsidRPr="00017CB3">
        <w:rPr>
          <w:rFonts w:ascii="Arial" w:hAnsi="Arial" w:cs="Arial"/>
        </w:rPr>
        <w:t>type.</w:t>
      </w:r>
    </w:p>
    <w:p w14:paraId="3B72C22E" w14:textId="77777777" w:rsidR="009B363D" w:rsidRPr="00017CB3" w:rsidRDefault="009B363D" w:rsidP="009B363D">
      <w:pPr>
        <w:pStyle w:val="ListParagraph"/>
        <w:numPr>
          <w:ilvl w:val="1"/>
          <w:numId w:val="4"/>
        </w:numPr>
        <w:tabs>
          <w:tab w:val="left" w:pos="1539"/>
          <w:tab w:val="left" w:pos="1540"/>
        </w:tabs>
        <w:spacing w:line="247" w:lineRule="auto"/>
        <w:ind w:right="254"/>
        <w:rPr>
          <w:rFonts w:ascii="Arial" w:hAnsi="Arial" w:cs="Arial"/>
        </w:rPr>
      </w:pPr>
      <w:r w:rsidRPr="00017CB3">
        <w:rPr>
          <w:rFonts w:ascii="Arial" w:hAnsi="Arial" w:cs="Arial"/>
        </w:rPr>
        <w:t>Motions to exceed the page limitations set forth in these Practice Standards will be granted only upon a showing of good cause. Any such motion shall indicate the number of pages of the proposed document and the reason why the</w:t>
      </w:r>
      <w:r w:rsidRPr="00017CB3">
        <w:rPr>
          <w:rFonts w:ascii="Arial" w:hAnsi="Arial" w:cs="Arial"/>
          <w:spacing w:val="-38"/>
        </w:rPr>
        <w:t xml:space="preserve"> </w:t>
      </w:r>
      <w:r w:rsidRPr="00017CB3">
        <w:rPr>
          <w:rFonts w:ascii="Arial" w:hAnsi="Arial" w:cs="Arial"/>
        </w:rPr>
        <w:t>additional pages are</w:t>
      </w:r>
      <w:r w:rsidRPr="00017CB3">
        <w:rPr>
          <w:rFonts w:ascii="Arial" w:hAnsi="Arial" w:cs="Arial"/>
          <w:spacing w:val="-1"/>
        </w:rPr>
        <w:t xml:space="preserve"> </w:t>
      </w:r>
      <w:r w:rsidRPr="00017CB3">
        <w:rPr>
          <w:rFonts w:ascii="Arial" w:hAnsi="Arial" w:cs="Arial"/>
        </w:rPr>
        <w:t>necessary.</w:t>
      </w:r>
    </w:p>
    <w:p w14:paraId="3C902299" w14:textId="77777777" w:rsidR="009B363D" w:rsidRPr="00017CB3" w:rsidRDefault="009B363D" w:rsidP="009B363D">
      <w:pPr>
        <w:pStyle w:val="BodyText"/>
        <w:spacing w:before="7"/>
        <w:rPr>
          <w:rFonts w:ascii="Arial" w:hAnsi="Arial" w:cs="Arial"/>
        </w:rPr>
      </w:pPr>
    </w:p>
    <w:p w14:paraId="008C10CB"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Responses and Replies</w:t>
      </w:r>
    </w:p>
    <w:p w14:paraId="186CDA9F" w14:textId="77777777" w:rsidR="009B363D" w:rsidRPr="00017CB3" w:rsidRDefault="009B363D" w:rsidP="009B363D">
      <w:pPr>
        <w:pStyle w:val="ListParagraph"/>
        <w:numPr>
          <w:ilvl w:val="0"/>
          <w:numId w:val="14"/>
        </w:numPr>
        <w:ind w:hanging="730"/>
        <w:rPr>
          <w:rFonts w:ascii="Arial" w:hAnsi="Arial" w:cs="Arial"/>
        </w:rPr>
      </w:pPr>
      <w:r w:rsidRPr="00017CB3">
        <w:rPr>
          <w:rFonts w:ascii="Arial" w:hAnsi="Arial" w:cs="Arial"/>
        </w:rPr>
        <w:t>A response shall clearly and completely identify by title, court CM/ECF docket number, and date filed the antecedent motion or petition to which response is made.  Similarly, a reply shall clearly and completely identify by title, court CM/ECF docket number, and date filed the antecedent response to which reply is made.</w:t>
      </w:r>
    </w:p>
    <w:p w14:paraId="230BB2F2"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Trial Briefs</w:t>
      </w:r>
    </w:p>
    <w:p w14:paraId="12DCC133" w14:textId="77777777" w:rsidR="009B363D" w:rsidRPr="00017CB3" w:rsidRDefault="009B363D" w:rsidP="009B363D">
      <w:pPr>
        <w:pStyle w:val="ListParagraph"/>
        <w:numPr>
          <w:ilvl w:val="0"/>
          <w:numId w:val="15"/>
        </w:numPr>
        <w:ind w:hanging="730"/>
        <w:rPr>
          <w:rFonts w:ascii="Arial" w:hAnsi="Arial" w:cs="Arial"/>
        </w:rPr>
      </w:pPr>
      <w:r w:rsidRPr="00017CB3">
        <w:rPr>
          <w:rFonts w:ascii="Arial" w:hAnsi="Arial" w:cs="Arial"/>
        </w:rPr>
        <w:t>Trial briefs are encouraged, but not required absent specific court order. If filed, trial briefs shall not exceed ten pages and shall be filed not later than seven days before trial. Please flag evidentiary issues in a trial brief rather than by motion in limine. A trial brief may not be used as a substitute for a motion.</w:t>
      </w:r>
    </w:p>
    <w:p w14:paraId="39EC841A" w14:textId="77777777" w:rsidR="009B363D" w:rsidRPr="00017CB3" w:rsidRDefault="009B363D" w:rsidP="009B363D">
      <w:pPr>
        <w:spacing w:line="247" w:lineRule="auto"/>
        <w:rPr>
          <w:rFonts w:cs="Arial"/>
        </w:rPr>
      </w:pPr>
    </w:p>
    <w:p w14:paraId="4194AEFA" w14:textId="77777777" w:rsidR="009B363D" w:rsidRPr="00017CB3" w:rsidRDefault="009B363D" w:rsidP="009B363D">
      <w:pPr>
        <w:pStyle w:val="Heading1"/>
        <w:keepNext w:val="0"/>
        <w:keepLines w:val="0"/>
        <w:widowControl w:val="0"/>
        <w:autoSpaceDE w:val="0"/>
        <w:autoSpaceDN w:val="0"/>
        <w:spacing w:before="0" w:line="240" w:lineRule="auto"/>
        <w:ind w:left="820" w:hanging="360"/>
        <w:rPr>
          <w:rFonts w:cs="Arial"/>
        </w:rPr>
      </w:pPr>
      <w:r w:rsidRPr="00017CB3">
        <w:rPr>
          <w:rFonts w:cs="Arial"/>
        </w:rPr>
        <w:t>TRIALS</w:t>
      </w:r>
    </w:p>
    <w:p w14:paraId="00098098" w14:textId="77777777" w:rsidR="009B363D" w:rsidRPr="00017CB3" w:rsidRDefault="009B363D" w:rsidP="009B363D">
      <w:pPr>
        <w:pStyle w:val="BodyText"/>
        <w:spacing w:before="2"/>
        <w:rPr>
          <w:rFonts w:ascii="Arial" w:hAnsi="Arial" w:cs="Arial"/>
          <w:b/>
          <w:sz w:val="20"/>
        </w:rPr>
      </w:pPr>
    </w:p>
    <w:p w14:paraId="0796FD8C" w14:textId="77777777" w:rsidR="009B363D" w:rsidRPr="00017CB3" w:rsidRDefault="009B363D" w:rsidP="009B363D">
      <w:pPr>
        <w:pStyle w:val="Heading2"/>
        <w:widowControl w:val="0"/>
        <w:numPr>
          <w:ilvl w:val="0"/>
          <w:numId w:val="27"/>
        </w:numPr>
        <w:autoSpaceDE w:val="0"/>
        <w:autoSpaceDN w:val="0"/>
        <w:spacing w:line="240" w:lineRule="auto"/>
        <w:rPr>
          <w:rFonts w:cs="Arial"/>
        </w:rPr>
      </w:pPr>
      <w:r w:rsidRPr="00017CB3">
        <w:rPr>
          <w:rFonts w:cs="Arial"/>
        </w:rPr>
        <w:t>Trial Preparation</w:t>
      </w:r>
      <w:r w:rsidRPr="00017CB3">
        <w:rPr>
          <w:rFonts w:cs="Arial"/>
          <w:spacing w:val="-1"/>
        </w:rPr>
        <w:t xml:space="preserve"> </w:t>
      </w:r>
      <w:r w:rsidRPr="00017CB3">
        <w:rPr>
          <w:rFonts w:cs="Arial"/>
        </w:rPr>
        <w:t>Conference/ Change of Plea Hearing</w:t>
      </w:r>
    </w:p>
    <w:p w14:paraId="46898B6C" w14:textId="77777777" w:rsidR="009B363D" w:rsidRPr="00017CB3" w:rsidRDefault="009B363D" w:rsidP="009B363D">
      <w:pPr>
        <w:pStyle w:val="ListParagraph"/>
        <w:numPr>
          <w:ilvl w:val="0"/>
          <w:numId w:val="16"/>
        </w:numPr>
        <w:ind w:hanging="730"/>
        <w:rPr>
          <w:rFonts w:ascii="Arial" w:hAnsi="Arial" w:cs="Arial"/>
        </w:rPr>
      </w:pPr>
      <w:r w:rsidRPr="00017CB3">
        <w:rPr>
          <w:rFonts w:ascii="Arial" w:hAnsi="Arial" w:cs="Arial"/>
        </w:rPr>
        <w:t xml:space="preserve">The court will set a date for either the Trial Preparation Conference or a change of plea hearing approximately two weeks before trial. Counsel who will try the case must attend. </w:t>
      </w:r>
    </w:p>
    <w:p w14:paraId="25B69222" w14:textId="77777777" w:rsidR="009B363D" w:rsidRPr="00017CB3" w:rsidRDefault="009B363D" w:rsidP="009B363D">
      <w:pPr>
        <w:pStyle w:val="ListParagraph"/>
        <w:numPr>
          <w:ilvl w:val="0"/>
          <w:numId w:val="16"/>
        </w:numPr>
        <w:ind w:hanging="640"/>
        <w:rPr>
          <w:rFonts w:ascii="Arial" w:hAnsi="Arial" w:cs="Arial"/>
        </w:rPr>
      </w:pPr>
      <w:r w:rsidRPr="00017CB3">
        <w:rPr>
          <w:rFonts w:ascii="Arial" w:hAnsi="Arial" w:cs="Arial"/>
        </w:rPr>
        <w:t xml:space="preserve">Not later than </w:t>
      </w:r>
      <w:r w:rsidRPr="00017CB3">
        <w:rPr>
          <w:rFonts w:ascii="Arial" w:hAnsi="Arial" w:cs="Arial"/>
          <w:b/>
          <w:bCs/>
          <w:u w:val="single"/>
        </w:rPr>
        <w:t>one week</w:t>
      </w:r>
      <w:r w:rsidRPr="00017CB3">
        <w:rPr>
          <w:rFonts w:ascii="Arial" w:hAnsi="Arial" w:cs="Arial"/>
        </w:rPr>
        <w:t xml:space="preserve"> prior to the Trial Preparation Conference, the </w:t>
      </w:r>
      <w:r w:rsidRPr="00017CB3">
        <w:rPr>
          <w:rFonts w:ascii="Arial" w:hAnsi="Arial" w:cs="Arial"/>
        </w:rPr>
        <w:lastRenderedPageBreak/>
        <w:t xml:space="preserve">parties shall submit, via CM/ECF, the following: </w:t>
      </w:r>
    </w:p>
    <w:p w14:paraId="6810F931" w14:textId="77777777" w:rsidR="009B363D" w:rsidRPr="00017CB3" w:rsidRDefault="009B363D" w:rsidP="009B363D">
      <w:pPr>
        <w:pStyle w:val="Heading3"/>
        <w:widowControl w:val="0"/>
        <w:numPr>
          <w:ilvl w:val="0"/>
          <w:numId w:val="17"/>
        </w:numPr>
        <w:autoSpaceDE w:val="0"/>
        <w:autoSpaceDN w:val="0"/>
        <w:spacing w:line="240" w:lineRule="auto"/>
        <w:rPr>
          <w:rFonts w:cs="Arial"/>
        </w:rPr>
      </w:pPr>
      <w:r w:rsidRPr="00017CB3">
        <w:rPr>
          <w:rFonts w:cs="Arial"/>
          <w:b/>
          <w:bCs/>
        </w:rPr>
        <w:t>Final witness lists</w:t>
      </w:r>
      <w:r w:rsidRPr="00017CB3">
        <w:rPr>
          <w:rFonts w:cs="Arial"/>
        </w:rPr>
        <w:t xml:space="preserve">, including the proposed order of witnesses, the anticipated length of testimony, and the expertise of any testifying experts. The parties shall also advise the court whether any witnesses will appear by video. </w:t>
      </w:r>
    </w:p>
    <w:p w14:paraId="6E34BAA5" w14:textId="77777777" w:rsidR="009B363D" w:rsidRPr="00017CB3" w:rsidRDefault="009B363D" w:rsidP="009B363D">
      <w:pPr>
        <w:pStyle w:val="Heading3"/>
        <w:widowControl w:val="0"/>
        <w:numPr>
          <w:ilvl w:val="0"/>
          <w:numId w:val="8"/>
        </w:numPr>
        <w:autoSpaceDE w:val="0"/>
        <w:autoSpaceDN w:val="0"/>
        <w:spacing w:line="240" w:lineRule="auto"/>
        <w:rPr>
          <w:rFonts w:cs="Arial"/>
          <w:b/>
          <w:bCs/>
        </w:rPr>
      </w:pPr>
      <w:r w:rsidRPr="00017CB3">
        <w:rPr>
          <w:rFonts w:cs="Arial"/>
          <w:b/>
          <w:bCs/>
        </w:rPr>
        <w:t>Final exhibit lists</w:t>
      </w:r>
    </w:p>
    <w:p w14:paraId="77E930B8" w14:textId="36791B9C" w:rsidR="009B363D" w:rsidRPr="00017CB3" w:rsidRDefault="009B363D" w:rsidP="009B363D">
      <w:pPr>
        <w:pStyle w:val="Heading3"/>
        <w:widowControl w:val="0"/>
        <w:numPr>
          <w:ilvl w:val="0"/>
          <w:numId w:val="8"/>
        </w:numPr>
        <w:autoSpaceDE w:val="0"/>
        <w:autoSpaceDN w:val="0"/>
        <w:spacing w:line="240" w:lineRule="auto"/>
        <w:rPr>
          <w:rFonts w:cs="Arial"/>
        </w:rPr>
      </w:pPr>
      <w:r w:rsidRPr="00017CB3">
        <w:rPr>
          <w:rFonts w:cs="Arial"/>
          <w:b/>
          <w:bCs/>
        </w:rPr>
        <w:t>Deposition designations/objections</w:t>
      </w:r>
      <w:r w:rsidRPr="00017CB3">
        <w:rPr>
          <w:rFonts w:cs="Arial"/>
        </w:rPr>
        <w:t xml:space="preserve">: If any party objects to any deposition designations, the parties shall jointly file with the court a single marked-up transcript of their respectively designated deposition testimony. </w:t>
      </w:r>
      <w:r w:rsidR="007D6A45" w:rsidRPr="00017CB3">
        <w:rPr>
          <w:rFonts w:cs="Arial"/>
        </w:rPr>
        <w:t>Government’s designations</w:t>
      </w:r>
      <w:r w:rsidRPr="00017CB3">
        <w:rPr>
          <w:rFonts w:cs="Arial"/>
        </w:rPr>
        <w:t xml:space="preserve"> shall be highlighted in </w:t>
      </w:r>
      <w:proofErr w:type="gramStart"/>
      <w:r w:rsidRPr="00017CB3">
        <w:rPr>
          <w:rFonts w:cs="Arial"/>
          <w:highlight w:val="yellow"/>
        </w:rPr>
        <w:t>yellow</w:t>
      </w:r>
      <w:proofErr w:type="gramEnd"/>
      <w:r w:rsidRPr="00017CB3">
        <w:rPr>
          <w:rFonts w:cs="Arial"/>
        </w:rPr>
        <w:t xml:space="preserve"> and Defendant’s designations shall be highlighted in </w:t>
      </w:r>
      <w:r w:rsidRPr="00017CB3">
        <w:rPr>
          <w:rFonts w:cs="Arial"/>
          <w:highlight w:val="cyan"/>
        </w:rPr>
        <w:t>blue</w:t>
      </w:r>
      <w:r w:rsidRPr="00017CB3">
        <w:rPr>
          <w:rFonts w:cs="Arial"/>
        </w:rPr>
        <w:t xml:space="preserve">.  The parties shall also file a chart identifying the designation by page and line number and any objections to that designation. Objections must state the rule and a </w:t>
      </w:r>
      <w:r w:rsidRPr="00017CB3">
        <w:rPr>
          <w:rFonts w:cs="Arial"/>
          <w:b/>
          <w:bCs/>
          <w:u w:val="single"/>
        </w:rPr>
        <w:t>short</w:t>
      </w:r>
      <w:r w:rsidRPr="00017CB3">
        <w:rPr>
          <w:rFonts w:cs="Arial"/>
        </w:rPr>
        <w:t xml:space="preserve"> statement of the basis for the objection</w:t>
      </w:r>
    </w:p>
    <w:p w14:paraId="47FEE885" w14:textId="77777777" w:rsidR="009B363D" w:rsidRPr="00017CB3" w:rsidRDefault="009B363D" w:rsidP="009B363D">
      <w:pPr>
        <w:pStyle w:val="Heading3"/>
        <w:widowControl w:val="0"/>
        <w:numPr>
          <w:ilvl w:val="0"/>
          <w:numId w:val="8"/>
        </w:numPr>
        <w:autoSpaceDE w:val="0"/>
        <w:autoSpaceDN w:val="0"/>
        <w:spacing w:line="240" w:lineRule="auto"/>
        <w:rPr>
          <w:rFonts w:cs="Arial"/>
        </w:rPr>
      </w:pPr>
      <w:r w:rsidRPr="00017CB3">
        <w:rPr>
          <w:rFonts w:cs="Arial"/>
          <w:b/>
          <w:bCs/>
        </w:rPr>
        <w:t>Proposed jury instructions</w:t>
      </w:r>
      <w:r w:rsidRPr="00017CB3">
        <w:rPr>
          <w:rFonts w:cs="Arial"/>
        </w:rPr>
        <w:t xml:space="preserve">: To the maximum extent possible, the parties shall agree on one stipulated set of proposed jury instructions; only true conflict or uncertainty in binding substantive law should prevent such agreement.  </w:t>
      </w:r>
    </w:p>
    <w:p w14:paraId="192B22E4" w14:textId="77777777" w:rsidR="009B363D" w:rsidRPr="00017CB3" w:rsidRDefault="009B363D" w:rsidP="009B363D">
      <w:pPr>
        <w:pStyle w:val="Heading3"/>
        <w:numPr>
          <w:ilvl w:val="0"/>
          <w:numId w:val="0"/>
        </w:numPr>
        <w:ind w:left="2520"/>
        <w:rPr>
          <w:rFonts w:cs="Arial"/>
        </w:rPr>
      </w:pPr>
    </w:p>
    <w:p w14:paraId="26E63FE0" w14:textId="77777777" w:rsidR="009B363D" w:rsidRPr="00017CB3" w:rsidRDefault="009B363D" w:rsidP="009B363D">
      <w:pPr>
        <w:pStyle w:val="Heading3"/>
        <w:widowControl w:val="0"/>
        <w:numPr>
          <w:ilvl w:val="1"/>
          <w:numId w:val="8"/>
        </w:numPr>
        <w:autoSpaceDE w:val="0"/>
        <w:autoSpaceDN w:val="0"/>
        <w:spacing w:line="240" w:lineRule="auto"/>
        <w:rPr>
          <w:rFonts w:cs="Arial"/>
        </w:rPr>
      </w:pPr>
      <w:r w:rsidRPr="00017CB3">
        <w:rPr>
          <w:rFonts w:cs="Arial"/>
        </w:rPr>
        <w:t>Whenever practicable and appropriate, the parties shall use or adapt for use the Criminal Pattern Jury Instructions prepared by the Criminal Pattern Jury Instruction Committee of the United States Court of Appeals for the Tenth Circuit.  The pattern instructions and updates may be found online at (https://www.ca10.uscourts.gov/).</w:t>
      </w:r>
    </w:p>
    <w:p w14:paraId="6A2D2CF2" w14:textId="77777777" w:rsidR="009B363D" w:rsidRPr="00017CB3" w:rsidRDefault="009B363D" w:rsidP="009B363D">
      <w:pPr>
        <w:pStyle w:val="Heading3"/>
        <w:numPr>
          <w:ilvl w:val="0"/>
          <w:numId w:val="0"/>
        </w:numPr>
        <w:ind w:left="2520"/>
        <w:rPr>
          <w:rFonts w:cs="Arial"/>
        </w:rPr>
      </w:pPr>
    </w:p>
    <w:p w14:paraId="62221F12" w14:textId="77777777" w:rsidR="009B363D" w:rsidRPr="00017CB3" w:rsidRDefault="009B363D" w:rsidP="009B363D">
      <w:pPr>
        <w:pStyle w:val="Heading3"/>
        <w:widowControl w:val="0"/>
        <w:numPr>
          <w:ilvl w:val="1"/>
          <w:numId w:val="8"/>
        </w:numPr>
        <w:autoSpaceDE w:val="0"/>
        <w:autoSpaceDN w:val="0"/>
        <w:spacing w:line="240" w:lineRule="auto"/>
        <w:rPr>
          <w:rFonts w:cs="Arial"/>
        </w:rPr>
      </w:pPr>
      <w:r w:rsidRPr="00017CB3">
        <w:rPr>
          <w:rFonts w:cs="Arial"/>
        </w:rPr>
        <w:t xml:space="preserve">To the extent that counsel </w:t>
      </w:r>
      <w:proofErr w:type="gramStart"/>
      <w:r w:rsidRPr="00017CB3">
        <w:rPr>
          <w:rFonts w:cs="Arial"/>
        </w:rPr>
        <w:t>are</w:t>
      </w:r>
      <w:proofErr w:type="gramEnd"/>
      <w:r w:rsidRPr="00017CB3">
        <w:rPr>
          <w:rFonts w:cs="Arial"/>
        </w:rPr>
        <w:t xml:space="preserve"> unable to agree on proposed instructions, they are to jointly submit a document identifying all disputed instructions, with a brief statement of dispute and each side’s proposed language. </w:t>
      </w:r>
    </w:p>
    <w:p w14:paraId="520EE99A" w14:textId="77777777" w:rsidR="009B363D" w:rsidRPr="00017CB3" w:rsidRDefault="009B363D" w:rsidP="009B363D">
      <w:pPr>
        <w:pStyle w:val="Heading3"/>
        <w:widowControl w:val="0"/>
        <w:numPr>
          <w:ilvl w:val="0"/>
          <w:numId w:val="8"/>
        </w:numPr>
        <w:autoSpaceDE w:val="0"/>
        <w:autoSpaceDN w:val="0"/>
        <w:spacing w:line="240" w:lineRule="auto"/>
        <w:rPr>
          <w:rFonts w:cs="Arial"/>
          <w:b/>
          <w:bCs/>
        </w:rPr>
      </w:pPr>
      <w:r w:rsidRPr="00017CB3">
        <w:rPr>
          <w:rFonts w:cs="Arial"/>
          <w:b/>
          <w:bCs/>
        </w:rPr>
        <w:t>Final verdict forms</w:t>
      </w:r>
    </w:p>
    <w:p w14:paraId="2124A0A6" w14:textId="5F24F8E0" w:rsidR="009B363D" w:rsidRDefault="009B363D" w:rsidP="009B363D">
      <w:pPr>
        <w:pStyle w:val="Heading3"/>
        <w:widowControl w:val="0"/>
        <w:numPr>
          <w:ilvl w:val="0"/>
          <w:numId w:val="8"/>
        </w:numPr>
        <w:autoSpaceDE w:val="0"/>
        <w:autoSpaceDN w:val="0"/>
        <w:spacing w:line="240" w:lineRule="auto"/>
        <w:rPr>
          <w:rFonts w:cs="Arial"/>
          <w:b/>
          <w:bCs/>
        </w:rPr>
      </w:pPr>
      <w:r w:rsidRPr="00017CB3">
        <w:rPr>
          <w:rFonts w:cs="Arial"/>
          <w:b/>
          <w:bCs/>
        </w:rPr>
        <w:t xml:space="preserve">Proposed </w:t>
      </w:r>
      <w:proofErr w:type="spellStart"/>
      <w:r w:rsidRPr="00017CB3">
        <w:rPr>
          <w:rFonts w:cs="Arial"/>
          <w:b/>
          <w:bCs/>
        </w:rPr>
        <w:t>voir</w:t>
      </w:r>
      <w:proofErr w:type="spellEnd"/>
      <w:r w:rsidRPr="00017CB3">
        <w:rPr>
          <w:rFonts w:cs="Arial"/>
          <w:b/>
          <w:bCs/>
        </w:rPr>
        <w:t xml:space="preserve"> dire</w:t>
      </w:r>
    </w:p>
    <w:p w14:paraId="286C94F9" w14:textId="77777777" w:rsidR="007D6A45" w:rsidRPr="007D6A45" w:rsidRDefault="007D6A45" w:rsidP="007D6A45"/>
    <w:p w14:paraId="078AAEA7"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Trial Practice and Procedure</w:t>
      </w:r>
    </w:p>
    <w:p w14:paraId="325C85DF" w14:textId="2ECA03BB" w:rsidR="009B363D" w:rsidRPr="00017CB3" w:rsidRDefault="009B363D" w:rsidP="009B363D">
      <w:pPr>
        <w:pStyle w:val="ListParagraph"/>
        <w:numPr>
          <w:ilvl w:val="0"/>
          <w:numId w:val="29"/>
        </w:numPr>
        <w:ind w:left="1620" w:hanging="630"/>
        <w:rPr>
          <w:rFonts w:ascii="Arial" w:hAnsi="Arial" w:cs="Arial"/>
        </w:rPr>
      </w:pPr>
      <w:r w:rsidRPr="00017CB3">
        <w:rPr>
          <w:rFonts w:ascii="Arial" w:hAnsi="Arial" w:cs="Arial"/>
        </w:rPr>
        <w:t>Counsel and pro se parties shall be present on the first day of trial at 8:30 a.m</w:t>
      </w:r>
      <w:r w:rsidRPr="00017CB3">
        <w:rPr>
          <w:rFonts w:ascii="Arial" w:hAnsi="Arial" w:cs="Arial"/>
          <w:b/>
          <w:bCs/>
        </w:rPr>
        <w:t>.</w:t>
      </w:r>
      <w:r w:rsidRPr="00017CB3">
        <w:rPr>
          <w:rFonts w:ascii="Arial" w:hAnsi="Arial" w:cs="Arial"/>
        </w:rPr>
        <w:t xml:space="preserve"> Jury selection will begin at 9:00 a.m. Commencing the second day of trial, the normal trial day will begin at </w:t>
      </w:r>
      <w:r w:rsidRPr="00017CB3">
        <w:rPr>
          <w:rFonts w:ascii="Arial" w:hAnsi="Arial" w:cs="Arial"/>
          <w:b/>
          <w:bCs/>
        </w:rPr>
        <w:t>8:00 a.m.</w:t>
      </w:r>
      <w:r w:rsidRPr="00017CB3">
        <w:rPr>
          <w:rFonts w:ascii="Arial" w:hAnsi="Arial" w:cs="Arial"/>
        </w:rPr>
        <w:t xml:space="preserve"> and continue until </w:t>
      </w:r>
      <w:r w:rsidRPr="00017CB3">
        <w:rPr>
          <w:rFonts w:ascii="Arial" w:hAnsi="Arial" w:cs="Arial"/>
          <w:b/>
          <w:bCs/>
        </w:rPr>
        <w:t xml:space="preserve">3:00 p.m. </w:t>
      </w:r>
      <w:r w:rsidRPr="00017CB3">
        <w:rPr>
          <w:rFonts w:ascii="Arial" w:hAnsi="Arial" w:cs="Arial"/>
        </w:rPr>
        <w:t xml:space="preserve">The trial day will have a morning recess of approximately fifteen minutes and a lunch break of approximately thirty minutes. </w:t>
      </w:r>
    </w:p>
    <w:p w14:paraId="6CC71F6B" w14:textId="77777777" w:rsidR="009B363D" w:rsidRPr="00017CB3" w:rsidRDefault="009B363D" w:rsidP="009B363D">
      <w:pPr>
        <w:pStyle w:val="ListParagraph"/>
        <w:numPr>
          <w:ilvl w:val="0"/>
          <w:numId w:val="13"/>
        </w:numPr>
        <w:ind w:hanging="550"/>
        <w:rPr>
          <w:rFonts w:ascii="Arial" w:hAnsi="Arial" w:cs="Arial"/>
        </w:rPr>
      </w:pPr>
      <w:r w:rsidRPr="00017CB3">
        <w:rPr>
          <w:rFonts w:ascii="Arial" w:hAnsi="Arial" w:cs="Arial"/>
        </w:rPr>
        <w:t>Unless otherwise ordered, each side shall be permitted voir dire examination of fifteen minutes after voir dire examination by the Court.</w:t>
      </w:r>
    </w:p>
    <w:p w14:paraId="2E0D305A" w14:textId="77777777" w:rsidR="009B363D" w:rsidRPr="00017CB3" w:rsidRDefault="009B363D" w:rsidP="009B363D">
      <w:pPr>
        <w:rPr>
          <w:rFonts w:cs="Arial"/>
        </w:rPr>
      </w:pPr>
    </w:p>
    <w:p w14:paraId="4B04B680" w14:textId="77777777" w:rsidR="009B363D" w:rsidRPr="00017CB3" w:rsidRDefault="009B363D" w:rsidP="009B363D">
      <w:pPr>
        <w:pStyle w:val="Heading1"/>
        <w:keepNext w:val="0"/>
        <w:keepLines w:val="0"/>
        <w:widowControl w:val="0"/>
        <w:autoSpaceDE w:val="0"/>
        <w:autoSpaceDN w:val="0"/>
        <w:spacing w:before="0" w:line="240" w:lineRule="auto"/>
        <w:ind w:left="820" w:hanging="360"/>
        <w:rPr>
          <w:rFonts w:cs="Arial"/>
        </w:rPr>
      </w:pPr>
      <w:r w:rsidRPr="00017CB3">
        <w:rPr>
          <w:rFonts w:cs="Arial"/>
        </w:rPr>
        <w:lastRenderedPageBreak/>
        <w:t>PLEA</w:t>
      </w:r>
      <w:r w:rsidRPr="00017CB3">
        <w:rPr>
          <w:rFonts w:cs="Arial"/>
          <w:spacing w:val="-1"/>
        </w:rPr>
        <w:t xml:space="preserve"> </w:t>
      </w:r>
      <w:r w:rsidRPr="00017CB3">
        <w:rPr>
          <w:rFonts w:cs="Arial"/>
        </w:rPr>
        <w:t>AGREEMENTS</w:t>
      </w:r>
    </w:p>
    <w:p w14:paraId="0EDA231F" w14:textId="77777777" w:rsidR="009B363D" w:rsidRPr="00017CB3" w:rsidRDefault="009B363D" w:rsidP="009B363D">
      <w:pPr>
        <w:pStyle w:val="BodyText"/>
        <w:spacing w:before="3"/>
        <w:rPr>
          <w:rFonts w:ascii="Arial" w:hAnsi="Arial" w:cs="Arial"/>
          <w:b/>
          <w:sz w:val="25"/>
        </w:rPr>
      </w:pPr>
    </w:p>
    <w:p w14:paraId="61820ED6" w14:textId="77777777" w:rsidR="009B363D" w:rsidRPr="00017CB3" w:rsidRDefault="009B363D" w:rsidP="009B363D">
      <w:pPr>
        <w:pStyle w:val="Heading2"/>
        <w:widowControl w:val="0"/>
        <w:numPr>
          <w:ilvl w:val="0"/>
          <w:numId w:val="30"/>
        </w:numPr>
        <w:autoSpaceDE w:val="0"/>
        <w:autoSpaceDN w:val="0"/>
        <w:spacing w:line="240" w:lineRule="auto"/>
        <w:rPr>
          <w:rFonts w:cs="Arial"/>
        </w:rPr>
      </w:pPr>
      <w:r w:rsidRPr="00017CB3">
        <w:rPr>
          <w:rFonts w:cs="Arial"/>
        </w:rPr>
        <w:t>Treatment of Notice of</w:t>
      </w:r>
      <w:r w:rsidRPr="00017CB3">
        <w:rPr>
          <w:rFonts w:cs="Arial"/>
          <w:spacing w:val="-2"/>
        </w:rPr>
        <w:t xml:space="preserve"> </w:t>
      </w:r>
      <w:r w:rsidRPr="00017CB3">
        <w:rPr>
          <w:rFonts w:cs="Arial"/>
        </w:rPr>
        <w:t>Disposition</w:t>
      </w:r>
    </w:p>
    <w:p w14:paraId="558018E2" w14:textId="77777777" w:rsidR="009B363D" w:rsidRPr="00017CB3" w:rsidRDefault="009B363D" w:rsidP="009B363D">
      <w:pPr>
        <w:pStyle w:val="BodyText"/>
        <w:spacing w:before="9"/>
        <w:rPr>
          <w:rFonts w:ascii="Arial" w:hAnsi="Arial" w:cs="Arial"/>
          <w:b/>
        </w:rPr>
      </w:pPr>
    </w:p>
    <w:p w14:paraId="2E477A95" w14:textId="77777777" w:rsidR="009B363D" w:rsidRPr="00017CB3" w:rsidRDefault="009B363D" w:rsidP="009B363D">
      <w:pPr>
        <w:pStyle w:val="ListParagraph"/>
        <w:numPr>
          <w:ilvl w:val="0"/>
          <w:numId w:val="31"/>
        </w:numPr>
        <w:ind w:hanging="550"/>
        <w:rPr>
          <w:rFonts w:ascii="Arial" w:hAnsi="Arial" w:cs="Arial"/>
        </w:rPr>
      </w:pPr>
      <w:r w:rsidRPr="00017CB3">
        <w:rPr>
          <w:rFonts w:ascii="Arial" w:hAnsi="Arial" w:cs="Arial"/>
        </w:rPr>
        <w:t>Any notice of disposition filed pursuant to D.</w:t>
      </w:r>
      <w:proofErr w:type="gramStart"/>
      <w:r w:rsidRPr="00017CB3">
        <w:rPr>
          <w:rFonts w:ascii="Arial" w:hAnsi="Arial" w:cs="Arial"/>
        </w:rPr>
        <w:t>C.COLO.LCrR</w:t>
      </w:r>
      <w:proofErr w:type="gramEnd"/>
      <w:r w:rsidRPr="00017CB3">
        <w:rPr>
          <w:rFonts w:ascii="Arial" w:hAnsi="Arial" w:cs="Arial"/>
        </w:rPr>
        <w:t xml:space="preserve"> 11.1A shall be considered to be a pretrial motion within the meaning of 18 U.S.C. § 3161(h)(1)(F) for the purpose of computing time under the Speedy Trial Act of 1974, 18 U.S.C. §§ 3161-74.</w:t>
      </w:r>
    </w:p>
    <w:p w14:paraId="07366FDD" w14:textId="77777777" w:rsidR="009B363D" w:rsidRPr="00017CB3" w:rsidRDefault="009B363D" w:rsidP="009B363D">
      <w:pPr>
        <w:pStyle w:val="BodyText"/>
        <w:spacing w:before="8"/>
        <w:rPr>
          <w:rFonts w:ascii="Arial" w:hAnsi="Arial" w:cs="Arial"/>
        </w:rPr>
      </w:pPr>
    </w:p>
    <w:p w14:paraId="4E6E1A92"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Plea Agreement Content</w:t>
      </w:r>
      <w:r w:rsidRPr="00017CB3">
        <w:rPr>
          <w:rFonts w:cs="Arial"/>
          <w:spacing w:val="-1"/>
        </w:rPr>
        <w:t xml:space="preserve"> </w:t>
      </w:r>
      <w:r w:rsidRPr="00017CB3">
        <w:rPr>
          <w:rFonts w:cs="Arial"/>
        </w:rPr>
        <w:t>Restriction</w:t>
      </w:r>
    </w:p>
    <w:p w14:paraId="70FE3019" w14:textId="77777777" w:rsidR="009B363D" w:rsidRPr="00017CB3" w:rsidRDefault="009B363D" w:rsidP="009B363D">
      <w:pPr>
        <w:pStyle w:val="BodyText"/>
        <w:spacing w:before="10"/>
        <w:rPr>
          <w:rFonts w:ascii="Arial" w:hAnsi="Arial" w:cs="Arial"/>
          <w:b/>
        </w:rPr>
      </w:pPr>
    </w:p>
    <w:p w14:paraId="62881FD9" w14:textId="77777777" w:rsidR="009B363D" w:rsidRPr="00017CB3" w:rsidRDefault="009B363D" w:rsidP="009B363D">
      <w:pPr>
        <w:pStyle w:val="ListParagraph"/>
        <w:numPr>
          <w:ilvl w:val="0"/>
          <w:numId w:val="32"/>
        </w:numPr>
        <w:ind w:hanging="820"/>
        <w:rPr>
          <w:rFonts w:ascii="Arial" w:hAnsi="Arial" w:cs="Arial"/>
        </w:rPr>
      </w:pPr>
      <w:r w:rsidRPr="00017CB3">
        <w:rPr>
          <w:rFonts w:ascii="Arial" w:hAnsi="Arial" w:cs="Arial"/>
        </w:rPr>
        <w:t>No plea agreement shall identify whether a defendant has agreed to cooperate with the United States or other jurisdiction with respect to the investigation or prosecution of others.</w:t>
      </w:r>
    </w:p>
    <w:p w14:paraId="1B3AAFE9" w14:textId="77777777" w:rsidR="009B363D" w:rsidRPr="00017CB3" w:rsidRDefault="009B363D" w:rsidP="009B363D">
      <w:pPr>
        <w:pStyle w:val="ListParagraph"/>
        <w:numPr>
          <w:ilvl w:val="0"/>
          <w:numId w:val="13"/>
        </w:numPr>
        <w:ind w:hanging="820"/>
        <w:rPr>
          <w:rFonts w:ascii="Arial" w:hAnsi="Arial" w:cs="Arial"/>
        </w:rPr>
      </w:pPr>
      <w:r w:rsidRPr="00017CB3">
        <w:rPr>
          <w:rFonts w:ascii="Arial" w:hAnsi="Arial" w:cs="Arial"/>
        </w:rPr>
        <w:t>Consequently, no plea agreement shall contain any reference to any cooperation agreement between the defendant and the government, to any potential for a motion under 5K.1.1 of the United States Sentencing Guidelines (“U.S.S.G.”), or to any other statutory or guideline calculation or adjustment predicated on such cooperation.</w:t>
      </w:r>
    </w:p>
    <w:p w14:paraId="357B3C96" w14:textId="77777777" w:rsidR="009B363D" w:rsidRPr="00017CB3" w:rsidRDefault="009B363D" w:rsidP="009B363D">
      <w:pPr>
        <w:pStyle w:val="Heading2"/>
        <w:widowControl w:val="0"/>
        <w:numPr>
          <w:ilvl w:val="0"/>
          <w:numId w:val="7"/>
        </w:numPr>
        <w:autoSpaceDE w:val="0"/>
        <w:autoSpaceDN w:val="0"/>
        <w:spacing w:line="240" w:lineRule="auto"/>
        <w:rPr>
          <w:rFonts w:cs="Arial"/>
        </w:rPr>
      </w:pPr>
      <w:r w:rsidRPr="00017CB3">
        <w:rPr>
          <w:rFonts w:cs="Arial"/>
        </w:rPr>
        <w:t>Change of Plea Haring</w:t>
      </w:r>
    </w:p>
    <w:p w14:paraId="53D01025" w14:textId="77777777" w:rsidR="009B363D" w:rsidRPr="00017CB3" w:rsidRDefault="009B363D" w:rsidP="009B363D">
      <w:pPr>
        <w:pStyle w:val="ListParagraph"/>
        <w:numPr>
          <w:ilvl w:val="0"/>
          <w:numId w:val="33"/>
        </w:numPr>
        <w:rPr>
          <w:rFonts w:ascii="Arial" w:hAnsi="Arial" w:cs="Arial"/>
        </w:rPr>
      </w:pPr>
      <w:r w:rsidRPr="00017CB3">
        <w:rPr>
          <w:rFonts w:ascii="Arial" w:hAnsi="Arial" w:cs="Arial"/>
        </w:rPr>
        <w:t>The order setting the trial and pretrial dates also sets the change of plea hearing date on the same day as the Trial Preparation Conference. If a notice of disposition is filed, the Change of Plea hearing will be held on the date already scheduled for the trial preparation conference (in lieu of the trial preparation conference).</w:t>
      </w:r>
    </w:p>
    <w:p w14:paraId="70084A7C" w14:textId="77777777" w:rsidR="009B363D" w:rsidRPr="00017CB3" w:rsidRDefault="009B363D" w:rsidP="009B363D">
      <w:pPr>
        <w:pStyle w:val="ListParagraph"/>
        <w:numPr>
          <w:ilvl w:val="0"/>
          <w:numId w:val="33"/>
        </w:numPr>
        <w:rPr>
          <w:rFonts w:ascii="Arial" w:hAnsi="Arial" w:cs="Arial"/>
        </w:rPr>
      </w:pPr>
      <w:r w:rsidRPr="00017CB3">
        <w:rPr>
          <w:rFonts w:ascii="Arial" w:hAnsi="Arial" w:cs="Arial"/>
        </w:rPr>
        <w:t xml:space="preserve">The AUSA who negotiated the plea agreement and defense counsel who reviewed the plea agreement with the defendant must be present in person at the Change of Plea hearing. </w:t>
      </w:r>
    </w:p>
    <w:p w14:paraId="091E583C" w14:textId="77777777" w:rsidR="009B363D" w:rsidRPr="00017CB3" w:rsidRDefault="009B363D" w:rsidP="009B363D">
      <w:pPr>
        <w:pStyle w:val="BodyText"/>
        <w:spacing w:before="8"/>
        <w:rPr>
          <w:rFonts w:ascii="Arial" w:hAnsi="Arial" w:cs="Arial"/>
        </w:rPr>
      </w:pPr>
    </w:p>
    <w:p w14:paraId="6C2B9989" w14:textId="77777777" w:rsidR="009B363D" w:rsidRPr="00017CB3" w:rsidRDefault="009B363D" w:rsidP="009B363D">
      <w:pPr>
        <w:pStyle w:val="BodyText"/>
        <w:spacing w:before="1" w:line="247" w:lineRule="auto"/>
        <w:ind w:left="100" w:right="176" w:firstLine="720"/>
        <w:rPr>
          <w:rFonts w:ascii="Arial" w:hAnsi="Arial" w:cs="Arial"/>
        </w:rPr>
      </w:pPr>
    </w:p>
    <w:p w14:paraId="5FAE0F42" w14:textId="77777777" w:rsidR="009B363D" w:rsidRDefault="009B363D" w:rsidP="009B363D">
      <w:pPr>
        <w:pStyle w:val="BodyText"/>
        <w:spacing w:before="1" w:line="247" w:lineRule="auto"/>
        <w:ind w:left="100" w:right="176" w:firstLine="720"/>
      </w:pPr>
    </w:p>
    <w:p w14:paraId="4E66BC79" w14:textId="77777777" w:rsidR="000E2369" w:rsidRDefault="000E2369" w:rsidP="009B363D">
      <w:pPr>
        <w:pStyle w:val="Heading1"/>
        <w:numPr>
          <w:ilvl w:val="0"/>
          <w:numId w:val="0"/>
        </w:numPr>
        <w:jc w:val="left"/>
      </w:pPr>
    </w:p>
    <w:sectPr w:rsidR="000E2369">
      <w:footerReference w:type="default" r:id="rId7"/>
      <w:pgSz w:w="12240" w:h="15840"/>
      <w:pgMar w:top="1320" w:right="1320" w:bottom="1680" w:left="1340" w:header="0" w:footer="1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6FE4" w14:textId="77777777" w:rsidR="00F33746" w:rsidRDefault="00257F28">
      <w:pPr>
        <w:spacing w:after="0" w:line="240" w:lineRule="auto"/>
      </w:pPr>
      <w:r>
        <w:separator/>
      </w:r>
    </w:p>
  </w:endnote>
  <w:endnote w:type="continuationSeparator" w:id="0">
    <w:p w14:paraId="5AD78D42" w14:textId="77777777" w:rsidR="00F33746" w:rsidRDefault="0025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461427"/>
      <w:docPartObj>
        <w:docPartGallery w:val="Page Numbers (Bottom of Page)"/>
        <w:docPartUnique/>
      </w:docPartObj>
    </w:sdtPr>
    <w:sdtEndPr>
      <w:rPr>
        <w:noProof/>
      </w:rPr>
    </w:sdtEndPr>
    <w:sdtContent>
      <w:p w14:paraId="338C45CC" w14:textId="77777777" w:rsidR="00017CB3" w:rsidRDefault="00B45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5E6F63" w14:textId="77777777" w:rsidR="007F5657" w:rsidRDefault="001D7C3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2B99" w14:textId="77777777" w:rsidR="00F33746" w:rsidRDefault="00257F28">
      <w:pPr>
        <w:spacing w:after="0" w:line="240" w:lineRule="auto"/>
      </w:pPr>
      <w:r>
        <w:separator/>
      </w:r>
    </w:p>
  </w:footnote>
  <w:footnote w:type="continuationSeparator" w:id="0">
    <w:p w14:paraId="0A98B4DE" w14:textId="77777777" w:rsidR="00F33746" w:rsidRDefault="00257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08B8"/>
    <w:multiLevelType w:val="hybridMultilevel"/>
    <w:tmpl w:val="7234D3BE"/>
    <w:lvl w:ilvl="0" w:tplc="A3A46828">
      <w:start w:val="1"/>
      <w:numFmt w:val="decimal"/>
      <w:pStyle w:val="ListParagraph"/>
      <w:lvlText w:val="%1."/>
      <w:lvlJc w:val="left"/>
      <w:pPr>
        <w:ind w:left="1540" w:hanging="360"/>
      </w:pPr>
      <w:rPr>
        <w:rFonts w:ascii="Arial" w:hAnsi="Arial" w:cs="Aria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2DC8141E"/>
    <w:multiLevelType w:val="hybridMultilevel"/>
    <w:tmpl w:val="493AC3D6"/>
    <w:lvl w:ilvl="0" w:tplc="8BBC260C">
      <w:start w:val="1"/>
      <w:numFmt w:val="decimal"/>
      <w:lvlText w:val="%1."/>
      <w:lvlJc w:val="left"/>
      <w:pPr>
        <w:ind w:left="1540" w:hanging="720"/>
      </w:pPr>
      <w:rPr>
        <w:rFonts w:ascii="Arial" w:eastAsia="Times New Roman" w:hAnsi="Arial" w:cs="Arial" w:hint="default"/>
        <w:spacing w:val="-3"/>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12D00"/>
    <w:multiLevelType w:val="hybridMultilevel"/>
    <w:tmpl w:val="E4646110"/>
    <w:lvl w:ilvl="0" w:tplc="1AA47444">
      <w:start w:val="1"/>
      <w:numFmt w:val="lowerLetter"/>
      <w:lvlText w:val="%1."/>
      <w:lvlJc w:val="left"/>
      <w:pPr>
        <w:ind w:left="1800" w:hanging="360"/>
      </w:pPr>
      <w:rPr>
        <w:b w:val="0"/>
        <w:bCs w:val="0"/>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8E7463"/>
    <w:multiLevelType w:val="hybridMultilevel"/>
    <w:tmpl w:val="14962A4E"/>
    <w:lvl w:ilvl="0" w:tplc="D5FEE956">
      <w:start w:val="1"/>
      <w:numFmt w:val="upperLetter"/>
      <w:lvlText w:val="%1."/>
      <w:lvlJc w:val="left"/>
      <w:pPr>
        <w:ind w:left="820" w:hanging="720"/>
      </w:pPr>
      <w:rPr>
        <w:rFonts w:ascii="Times New Roman" w:eastAsia="Times New Roman" w:hAnsi="Times New Roman" w:cs="Times New Roman" w:hint="default"/>
        <w:b/>
        <w:bCs/>
        <w:i w:val="0"/>
        <w:iCs/>
        <w:w w:val="99"/>
        <w:sz w:val="24"/>
        <w:szCs w:val="24"/>
        <w:lang w:val="en-US" w:eastAsia="en-US" w:bidi="en-US"/>
      </w:rPr>
    </w:lvl>
    <w:lvl w:ilvl="1" w:tplc="6882AF50">
      <w:start w:val="1"/>
      <w:numFmt w:val="decimal"/>
      <w:lvlText w:val="%2."/>
      <w:lvlJc w:val="left"/>
      <w:pPr>
        <w:ind w:left="1540" w:hanging="720"/>
      </w:pPr>
      <w:rPr>
        <w:rFonts w:ascii="Arial" w:eastAsia="Times New Roman" w:hAnsi="Arial" w:cs="Arial" w:hint="default"/>
        <w:spacing w:val="-17"/>
        <w:w w:val="99"/>
        <w:sz w:val="24"/>
        <w:szCs w:val="24"/>
        <w:lang w:val="en-US" w:eastAsia="en-US" w:bidi="en-US"/>
      </w:rPr>
    </w:lvl>
    <w:lvl w:ilvl="2" w:tplc="E5429338">
      <w:numFmt w:val="bullet"/>
      <w:lvlText w:val="•"/>
      <w:lvlJc w:val="left"/>
      <w:pPr>
        <w:ind w:left="2433" w:hanging="720"/>
      </w:pPr>
      <w:rPr>
        <w:rFonts w:hint="default"/>
        <w:lang w:val="en-US" w:eastAsia="en-US" w:bidi="en-US"/>
      </w:rPr>
    </w:lvl>
    <w:lvl w:ilvl="3" w:tplc="68B2FD3A">
      <w:numFmt w:val="bullet"/>
      <w:lvlText w:val="•"/>
      <w:lvlJc w:val="left"/>
      <w:pPr>
        <w:ind w:left="3326" w:hanging="720"/>
      </w:pPr>
      <w:rPr>
        <w:rFonts w:hint="default"/>
        <w:lang w:val="en-US" w:eastAsia="en-US" w:bidi="en-US"/>
      </w:rPr>
    </w:lvl>
    <w:lvl w:ilvl="4" w:tplc="438602A0">
      <w:numFmt w:val="bullet"/>
      <w:lvlText w:val="•"/>
      <w:lvlJc w:val="left"/>
      <w:pPr>
        <w:ind w:left="4220" w:hanging="720"/>
      </w:pPr>
      <w:rPr>
        <w:rFonts w:hint="default"/>
        <w:lang w:val="en-US" w:eastAsia="en-US" w:bidi="en-US"/>
      </w:rPr>
    </w:lvl>
    <w:lvl w:ilvl="5" w:tplc="0622933E">
      <w:numFmt w:val="bullet"/>
      <w:lvlText w:val="•"/>
      <w:lvlJc w:val="left"/>
      <w:pPr>
        <w:ind w:left="5113" w:hanging="720"/>
      </w:pPr>
      <w:rPr>
        <w:rFonts w:hint="default"/>
        <w:lang w:val="en-US" w:eastAsia="en-US" w:bidi="en-US"/>
      </w:rPr>
    </w:lvl>
    <w:lvl w:ilvl="6" w:tplc="45367796">
      <w:numFmt w:val="bullet"/>
      <w:lvlText w:val="•"/>
      <w:lvlJc w:val="left"/>
      <w:pPr>
        <w:ind w:left="6006" w:hanging="720"/>
      </w:pPr>
      <w:rPr>
        <w:rFonts w:hint="default"/>
        <w:lang w:val="en-US" w:eastAsia="en-US" w:bidi="en-US"/>
      </w:rPr>
    </w:lvl>
    <w:lvl w:ilvl="7" w:tplc="218C6234">
      <w:numFmt w:val="bullet"/>
      <w:lvlText w:val="•"/>
      <w:lvlJc w:val="left"/>
      <w:pPr>
        <w:ind w:left="6900" w:hanging="720"/>
      </w:pPr>
      <w:rPr>
        <w:rFonts w:hint="default"/>
        <w:lang w:val="en-US" w:eastAsia="en-US" w:bidi="en-US"/>
      </w:rPr>
    </w:lvl>
    <w:lvl w:ilvl="8" w:tplc="E4F05530">
      <w:numFmt w:val="bullet"/>
      <w:lvlText w:val="•"/>
      <w:lvlJc w:val="left"/>
      <w:pPr>
        <w:ind w:left="7793" w:hanging="720"/>
      </w:pPr>
      <w:rPr>
        <w:rFonts w:hint="default"/>
        <w:lang w:val="en-US" w:eastAsia="en-US" w:bidi="en-US"/>
      </w:rPr>
    </w:lvl>
  </w:abstractNum>
  <w:abstractNum w:abstractNumId="4" w15:restartNumberingAfterBreak="0">
    <w:nsid w:val="359E2495"/>
    <w:multiLevelType w:val="hybridMultilevel"/>
    <w:tmpl w:val="FAD67C88"/>
    <w:lvl w:ilvl="0" w:tplc="840C2426">
      <w:start w:val="1"/>
      <w:numFmt w:val="upperLetter"/>
      <w:lvlText w:val="%1."/>
      <w:lvlJc w:val="left"/>
      <w:pPr>
        <w:ind w:left="820" w:hanging="720"/>
      </w:pPr>
      <w:rPr>
        <w:rFonts w:ascii="Times New Roman" w:eastAsia="Times New Roman" w:hAnsi="Times New Roman" w:cs="Times New Roman" w:hint="default"/>
        <w:b/>
        <w:bCs/>
        <w:w w:val="99"/>
        <w:sz w:val="24"/>
        <w:szCs w:val="24"/>
        <w:lang w:val="en-US" w:eastAsia="en-US" w:bidi="en-US"/>
      </w:rPr>
    </w:lvl>
    <w:lvl w:ilvl="1" w:tplc="E9F29286">
      <w:start w:val="1"/>
      <w:numFmt w:val="decimal"/>
      <w:lvlText w:val="%2."/>
      <w:lvlJc w:val="left"/>
      <w:pPr>
        <w:ind w:left="1540" w:hanging="720"/>
      </w:pPr>
      <w:rPr>
        <w:rFonts w:ascii="Arial" w:eastAsia="Times New Roman" w:hAnsi="Arial" w:cs="Arial" w:hint="default"/>
        <w:spacing w:val="-3"/>
        <w:w w:val="99"/>
        <w:sz w:val="24"/>
        <w:szCs w:val="24"/>
        <w:lang w:val="en-US" w:eastAsia="en-US" w:bidi="en-US"/>
      </w:rPr>
    </w:lvl>
    <w:lvl w:ilvl="2" w:tplc="4792083E">
      <w:numFmt w:val="bullet"/>
      <w:lvlText w:val="•"/>
      <w:lvlJc w:val="left"/>
      <w:pPr>
        <w:ind w:left="2433" w:hanging="720"/>
      </w:pPr>
      <w:rPr>
        <w:rFonts w:hint="default"/>
        <w:lang w:val="en-US" w:eastAsia="en-US" w:bidi="en-US"/>
      </w:rPr>
    </w:lvl>
    <w:lvl w:ilvl="3" w:tplc="AE1274AC">
      <w:numFmt w:val="bullet"/>
      <w:lvlText w:val="•"/>
      <w:lvlJc w:val="left"/>
      <w:pPr>
        <w:ind w:left="3326" w:hanging="720"/>
      </w:pPr>
      <w:rPr>
        <w:rFonts w:hint="default"/>
        <w:lang w:val="en-US" w:eastAsia="en-US" w:bidi="en-US"/>
      </w:rPr>
    </w:lvl>
    <w:lvl w:ilvl="4" w:tplc="54C22EAE">
      <w:numFmt w:val="bullet"/>
      <w:lvlText w:val="•"/>
      <w:lvlJc w:val="left"/>
      <w:pPr>
        <w:ind w:left="4220" w:hanging="720"/>
      </w:pPr>
      <w:rPr>
        <w:rFonts w:hint="default"/>
        <w:lang w:val="en-US" w:eastAsia="en-US" w:bidi="en-US"/>
      </w:rPr>
    </w:lvl>
    <w:lvl w:ilvl="5" w:tplc="18F4C89A">
      <w:numFmt w:val="bullet"/>
      <w:lvlText w:val="•"/>
      <w:lvlJc w:val="left"/>
      <w:pPr>
        <w:ind w:left="5113" w:hanging="720"/>
      </w:pPr>
      <w:rPr>
        <w:rFonts w:hint="default"/>
        <w:lang w:val="en-US" w:eastAsia="en-US" w:bidi="en-US"/>
      </w:rPr>
    </w:lvl>
    <w:lvl w:ilvl="6" w:tplc="472CF064">
      <w:numFmt w:val="bullet"/>
      <w:lvlText w:val="•"/>
      <w:lvlJc w:val="left"/>
      <w:pPr>
        <w:ind w:left="6006" w:hanging="720"/>
      </w:pPr>
      <w:rPr>
        <w:rFonts w:hint="default"/>
        <w:lang w:val="en-US" w:eastAsia="en-US" w:bidi="en-US"/>
      </w:rPr>
    </w:lvl>
    <w:lvl w:ilvl="7" w:tplc="EEBAE86C">
      <w:numFmt w:val="bullet"/>
      <w:lvlText w:val="•"/>
      <w:lvlJc w:val="left"/>
      <w:pPr>
        <w:ind w:left="6900" w:hanging="720"/>
      </w:pPr>
      <w:rPr>
        <w:rFonts w:hint="default"/>
        <w:lang w:val="en-US" w:eastAsia="en-US" w:bidi="en-US"/>
      </w:rPr>
    </w:lvl>
    <w:lvl w:ilvl="8" w:tplc="1EAE5946">
      <w:numFmt w:val="bullet"/>
      <w:lvlText w:val="•"/>
      <w:lvlJc w:val="left"/>
      <w:pPr>
        <w:ind w:left="7793" w:hanging="720"/>
      </w:pPr>
      <w:rPr>
        <w:rFonts w:hint="default"/>
        <w:lang w:val="en-US" w:eastAsia="en-US" w:bidi="en-US"/>
      </w:rPr>
    </w:lvl>
  </w:abstractNum>
  <w:abstractNum w:abstractNumId="5" w15:restartNumberingAfterBreak="0">
    <w:nsid w:val="35BB1753"/>
    <w:multiLevelType w:val="hybridMultilevel"/>
    <w:tmpl w:val="FFCCDD90"/>
    <w:lvl w:ilvl="0" w:tplc="AEBE1AE0">
      <w:start w:val="1"/>
      <w:numFmt w:val="decimal"/>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95CBC"/>
    <w:multiLevelType w:val="hybridMultilevel"/>
    <w:tmpl w:val="A4247952"/>
    <w:lvl w:ilvl="0" w:tplc="B06C8A5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63910"/>
    <w:multiLevelType w:val="hybridMultilevel"/>
    <w:tmpl w:val="D4685B82"/>
    <w:lvl w:ilvl="0" w:tplc="09D6A9F0">
      <w:start w:val="1"/>
      <w:numFmt w:val="upperLetter"/>
      <w:lvlText w:val="%1."/>
      <w:lvlJc w:val="left"/>
      <w:pPr>
        <w:ind w:left="820" w:hanging="720"/>
        <w:jc w:val="right"/>
      </w:pPr>
      <w:rPr>
        <w:rFonts w:ascii="Times New Roman" w:eastAsia="Times New Roman" w:hAnsi="Times New Roman" w:cs="Times New Roman" w:hint="default"/>
        <w:b/>
        <w:bCs/>
        <w:w w:val="99"/>
        <w:sz w:val="24"/>
        <w:szCs w:val="24"/>
        <w:lang w:val="en-US" w:eastAsia="en-US" w:bidi="en-US"/>
      </w:rPr>
    </w:lvl>
    <w:lvl w:ilvl="1" w:tplc="EFB0BA4A">
      <w:start w:val="1"/>
      <w:numFmt w:val="decimal"/>
      <w:lvlText w:val="%2."/>
      <w:lvlJc w:val="left"/>
      <w:pPr>
        <w:ind w:left="1540" w:hanging="720"/>
      </w:pPr>
      <w:rPr>
        <w:rFonts w:ascii="Arial" w:eastAsia="Times New Roman" w:hAnsi="Arial" w:cs="Arial" w:hint="default"/>
        <w:spacing w:val="-13"/>
        <w:w w:val="100"/>
        <w:sz w:val="24"/>
        <w:szCs w:val="24"/>
        <w:lang w:val="en-US" w:eastAsia="en-US" w:bidi="en-US"/>
      </w:rPr>
    </w:lvl>
    <w:lvl w:ilvl="2" w:tplc="8C82E3DA">
      <w:numFmt w:val="bullet"/>
      <w:lvlText w:val="•"/>
      <w:lvlJc w:val="left"/>
      <w:pPr>
        <w:ind w:left="2433" w:hanging="720"/>
      </w:pPr>
      <w:rPr>
        <w:rFonts w:hint="default"/>
        <w:lang w:val="en-US" w:eastAsia="en-US" w:bidi="en-US"/>
      </w:rPr>
    </w:lvl>
    <w:lvl w:ilvl="3" w:tplc="CB203DE4">
      <w:numFmt w:val="bullet"/>
      <w:lvlText w:val="•"/>
      <w:lvlJc w:val="left"/>
      <w:pPr>
        <w:ind w:left="3326" w:hanging="720"/>
      </w:pPr>
      <w:rPr>
        <w:rFonts w:hint="default"/>
        <w:lang w:val="en-US" w:eastAsia="en-US" w:bidi="en-US"/>
      </w:rPr>
    </w:lvl>
    <w:lvl w:ilvl="4" w:tplc="C2F85972">
      <w:numFmt w:val="bullet"/>
      <w:lvlText w:val="•"/>
      <w:lvlJc w:val="left"/>
      <w:pPr>
        <w:ind w:left="4220" w:hanging="720"/>
      </w:pPr>
      <w:rPr>
        <w:rFonts w:hint="default"/>
        <w:lang w:val="en-US" w:eastAsia="en-US" w:bidi="en-US"/>
      </w:rPr>
    </w:lvl>
    <w:lvl w:ilvl="5" w:tplc="BDEEE4CE">
      <w:numFmt w:val="bullet"/>
      <w:lvlText w:val="•"/>
      <w:lvlJc w:val="left"/>
      <w:pPr>
        <w:ind w:left="5113" w:hanging="720"/>
      </w:pPr>
      <w:rPr>
        <w:rFonts w:hint="default"/>
        <w:lang w:val="en-US" w:eastAsia="en-US" w:bidi="en-US"/>
      </w:rPr>
    </w:lvl>
    <w:lvl w:ilvl="6" w:tplc="3A7AD3DE">
      <w:numFmt w:val="bullet"/>
      <w:lvlText w:val="•"/>
      <w:lvlJc w:val="left"/>
      <w:pPr>
        <w:ind w:left="6006" w:hanging="720"/>
      </w:pPr>
      <w:rPr>
        <w:rFonts w:hint="default"/>
        <w:lang w:val="en-US" w:eastAsia="en-US" w:bidi="en-US"/>
      </w:rPr>
    </w:lvl>
    <w:lvl w:ilvl="7" w:tplc="95706BF4">
      <w:numFmt w:val="bullet"/>
      <w:lvlText w:val="•"/>
      <w:lvlJc w:val="left"/>
      <w:pPr>
        <w:ind w:left="6900" w:hanging="720"/>
      </w:pPr>
      <w:rPr>
        <w:rFonts w:hint="default"/>
        <w:lang w:val="en-US" w:eastAsia="en-US" w:bidi="en-US"/>
      </w:rPr>
    </w:lvl>
    <w:lvl w:ilvl="8" w:tplc="CB02A542">
      <w:numFmt w:val="bullet"/>
      <w:lvlText w:val="•"/>
      <w:lvlJc w:val="left"/>
      <w:pPr>
        <w:ind w:left="7793" w:hanging="720"/>
      </w:pPr>
      <w:rPr>
        <w:rFonts w:hint="default"/>
        <w:lang w:val="en-US" w:eastAsia="en-US" w:bidi="en-US"/>
      </w:rPr>
    </w:lvl>
  </w:abstractNum>
  <w:abstractNum w:abstractNumId="8" w15:restartNumberingAfterBreak="0">
    <w:nsid w:val="6DF77B7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75947C60"/>
    <w:multiLevelType w:val="hybridMultilevel"/>
    <w:tmpl w:val="6714E7FA"/>
    <w:lvl w:ilvl="0" w:tplc="836661EA">
      <w:start w:val="1"/>
      <w:numFmt w:val="low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025DF"/>
    <w:multiLevelType w:val="hybridMultilevel"/>
    <w:tmpl w:val="E1C017AC"/>
    <w:lvl w:ilvl="0" w:tplc="72D48928">
      <w:start w:val="1"/>
      <w:numFmt w:val="decimal"/>
      <w:lvlText w:val="%1."/>
      <w:lvlJc w:val="left"/>
      <w:pPr>
        <w:ind w:left="1540" w:hanging="720"/>
      </w:pPr>
      <w:rPr>
        <w:rFonts w:ascii="Arial" w:eastAsia="Times New Roman" w:hAnsi="Arial" w:cs="Arial" w:hint="default"/>
        <w:spacing w:val="-13"/>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5433154">
    <w:abstractNumId w:val="8"/>
  </w:num>
  <w:num w:numId="2" w16cid:durableId="287786196">
    <w:abstractNumId w:val="5"/>
  </w:num>
  <w:num w:numId="3" w16cid:durableId="890775875">
    <w:abstractNumId w:val="9"/>
  </w:num>
  <w:num w:numId="4" w16cid:durableId="800538438">
    <w:abstractNumId w:val="3"/>
  </w:num>
  <w:num w:numId="5" w16cid:durableId="1921791397">
    <w:abstractNumId w:val="7"/>
  </w:num>
  <w:num w:numId="6" w16cid:durableId="761025236">
    <w:abstractNumId w:val="4"/>
  </w:num>
  <w:num w:numId="7" w16cid:durableId="674311181">
    <w:abstractNumId w:val="6"/>
  </w:num>
  <w:num w:numId="8" w16cid:durableId="1423332379">
    <w:abstractNumId w:val="2"/>
  </w:num>
  <w:num w:numId="9" w16cid:durableId="1110471551">
    <w:abstractNumId w:val="2"/>
    <w:lvlOverride w:ilvl="0">
      <w:startOverride w:val="1"/>
    </w:lvlOverride>
  </w:num>
  <w:num w:numId="10" w16cid:durableId="1161316437">
    <w:abstractNumId w:val="0"/>
    <w:lvlOverride w:ilvl="0">
      <w:startOverride w:val="1"/>
    </w:lvlOverride>
  </w:num>
  <w:num w:numId="11" w16cid:durableId="545683820">
    <w:abstractNumId w:val="2"/>
    <w:lvlOverride w:ilvl="0">
      <w:startOverride w:val="1"/>
    </w:lvlOverride>
  </w:num>
  <w:num w:numId="12" w16cid:durableId="1405030839">
    <w:abstractNumId w:val="0"/>
    <w:lvlOverride w:ilvl="0">
      <w:startOverride w:val="1"/>
    </w:lvlOverride>
  </w:num>
  <w:num w:numId="13" w16cid:durableId="1574925551">
    <w:abstractNumId w:val="0"/>
  </w:num>
  <w:num w:numId="14" w16cid:durableId="1564607118">
    <w:abstractNumId w:val="0"/>
    <w:lvlOverride w:ilvl="0">
      <w:startOverride w:val="1"/>
    </w:lvlOverride>
  </w:num>
  <w:num w:numId="15" w16cid:durableId="1190801477">
    <w:abstractNumId w:val="0"/>
    <w:lvlOverride w:ilvl="0">
      <w:startOverride w:val="1"/>
    </w:lvlOverride>
  </w:num>
  <w:num w:numId="16" w16cid:durableId="1729958403">
    <w:abstractNumId w:val="0"/>
    <w:lvlOverride w:ilvl="0">
      <w:startOverride w:val="1"/>
    </w:lvlOverride>
  </w:num>
  <w:num w:numId="17" w16cid:durableId="777483147">
    <w:abstractNumId w:val="2"/>
    <w:lvlOverride w:ilvl="0">
      <w:startOverride w:val="1"/>
    </w:lvlOverride>
  </w:num>
  <w:num w:numId="18" w16cid:durableId="72625332">
    <w:abstractNumId w:val="1"/>
  </w:num>
  <w:num w:numId="19" w16cid:durableId="1731414751">
    <w:abstractNumId w:val="0"/>
    <w:lvlOverride w:ilvl="0">
      <w:startOverride w:val="1"/>
    </w:lvlOverride>
  </w:num>
  <w:num w:numId="20" w16cid:durableId="1600679174">
    <w:abstractNumId w:val="0"/>
    <w:lvlOverride w:ilvl="0">
      <w:startOverride w:val="1"/>
    </w:lvlOverride>
  </w:num>
  <w:num w:numId="21" w16cid:durableId="1256745451">
    <w:abstractNumId w:val="0"/>
    <w:lvlOverride w:ilvl="0">
      <w:startOverride w:val="1"/>
    </w:lvlOverride>
  </w:num>
  <w:num w:numId="22" w16cid:durableId="423769319">
    <w:abstractNumId w:val="6"/>
    <w:lvlOverride w:ilvl="0">
      <w:startOverride w:val="1"/>
    </w:lvlOverride>
  </w:num>
  <w:num w:numId="23" w16cid:durableId="1106073311">
    <w:abstractNumId w:val="0"/>
    <w:lvlOverride w:ilvl="0">
      <w:startOverride w:val="1"/>
    </w:lvlOverride>
  </w:num>
  <w:num w:numId="24" w16cid:durableId="1897159137">
    <w:abstractNumId w:val="10"/>
  </w:num>
  <w:num w:numId="25" w16cid:durableId="122618097">
    <w:abstractNumId w:val="2"/>
    <w:lvlOverride w:ilvl="0">
      <w:startOverride w:val="1"/>
    </w:lvlOverride>
  </w:num>
  <w:num w:numId="26" w16cid:durableId="1525367754">
    <w:abstractNumId w:val="6"/>
    <w:lvlOverride w:ilvl="0">
      <w:startOverride w:val="1"/>
    </w:lvlOverride>
  </w:num>
  <w:num w:numId="27" w16cid:durableId="2046635861">
    <w:abstractNumId w:val="6"/>
    <w:lvlOverride w:ilvl="0">
      <w:startOverride w:val="1"/>
    </w:lvlOverride>
  </w:num>
  <w:num w:numId="28" w16cid:durableId="1913153440">
    <w:abstractNumId w:val="0"/>
    <w:lvlOverride w:ilvl="0">
      <w:startOverride w:val="1"/>
    </w:lvlOverride>
  </w:num>
  <w:num w:numId="29" w16cid:durableId="1857185748">
    <w:abstractNumId w:val="0"/>
    <w:lvlOverride w:ilvl="0">
      <w:startOverride w:val="1"/>
    </w:lvlOverride>
  </w:num>
  <w:num w:numId="30" w16cid:durableId="1323847052">
    <w:abstractNumId w:val="6"/>
    <w:lvlOverride w:ilvl="0">
      <w:startOverride w:val="1"/>
    </w:lvlOverride>
  </w:num>
  <w:num w:numId="31" w16cid:durableId="462697296">
    <w:abstractNumId w:val="0"/>
    <w:lvlOverride w:ilvl="0">
      <w:startOverride w:val="1"/>
    </w:lvlOverride>
  </w:num>
  <w:num w:numId="32" w16cid:durableId="1622876490">
    <w:abstractNumId w:val="0"/>
    <w:lvlOverride w:ilvl="0">
      <w:startOverride w:val="1"/>
    </w:lvlOverride>
  </w:num>
  <w:num w:numId="33" w16cid:durableId="936329246">
    <w:abstractNumId w:val="0"/>
    <w:lvlOverride w:ilvl="0">
      <w:startOverride w:val="1"/>
    </w:lvlOverride>
  </w:num>
  <w:num w:numId="34" w16cid:durableId="133179256">
    <w:abstractNumId w:val="0"/>
    <w:lvlOverride w:ilvl="0">
      <w:startOverride w:val="1"/>
    </w:lvlOverride>
  </w:num>
  <w:num w:numId="35" w16cid:durableId="142980977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3D"/>
    <w:rsid w:val="000825CA"/>
    <w:rsid w:val="000D741D"/>
    <w:rsid w:val="000E2369"/>
    <w:rsid w:val="001D7C3D"/>
    <w:rsid w:val="001F5B7A"/>
    <w:rsid w:val="00257F28"/>
    <w:rsid w:val="0042751C"/>
    <w:rsid w:val="005A5351"/>
    <w:rsid w:val="005E01A1"/>
    <w:rsid w:val="00786710"/>
    <w:rsid w:val="007D6A45"/>
    <w:rsid w:val="00825A85"/>
    <w:rsid w:val="009B363D"/>
    <w:rsid w:val="009E5DBB"/>
    <w:rsid w:val="00A908DB"/>
    <w:rsid w:val="00B4550C"/>
    <w:rsid w:val="00B8721F"/>
    <w:rsid w:val="00D22D14"/>
    <w:rsid w:val="00E10DA3"/>
    <w:rsid w:val="00EE7F84"/>
    <w:rsid w:val="00F3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34FD"/>
  <w15:chartTrackingRefBased/>
  <w15:docId w15:val="{4A55E2EE-7C4D-4A2F-8256-5AF3102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3D"/>
    <w:rPr>
      <w:rFonts w:ascii="Arial" w:hAnsi="Arial"/>
      <w:sz w:val="24"/>
    </w:rPr>
  </w:style>
  <w:style w:type="paragraph" w:styleId="Heading1">
    <w:name w:val="heading 1"/>
    <w:basedOn w:val="Normal"/>
    <w:next w:val="Normal"/>
    <w:link w:val="Heading1Char"/>
    <w:uiPriority w:val="9"/>
    <w:qFormat/>
    <w:rsid w:val="009B363D"/>
    <w:pPr>
      <w:keepNext/>
      <w:keepLines/>
      <w:numPr>
        <w:numId w:val="1"/>
      </w:numP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B363D"/>
    <w:pPr>
      <w:keepNext/>
      <w:keepLines/>
      <w:numPr>
        <w:ilvl w:val="1"/>
        <w:numId w:val="1"/>
      </w:numPr>
      <w:spacing w:before="40" w:after="0"/>
      <w:ind w:left="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B363D"/>
    <w:pPr>
      <w:keepNext/>
      <w:keepLines/>
      <w:numPr>
        <w:ilvl w:val="2"/>
        <w:numId w:val="1"/>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B363D"/>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B363D"/>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363D"/>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363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363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363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3D"/>
    <w:rPr>
      <w:rFonts w:ascii="Arial" w:eastAsiaTheme="majorEastAsia" w:hAnsi="Arial" w:cstheme="majorBidi"/>
      <w:b/>
      <w:sz w:val="24"/>
      <w:szCs w:val="32"/>
    </w:rPr>
  </w:style>
  <w:style w:type="character" w:customStyle="1" w:styleId="Heading2Char">
    <w:name w:val="Heading 2 Char"/>
    <w:basedOn w:val="DefaultParagraphFont"/>
    <w:link w:val="Heading2"/>
    <w:uiPriority w:val="9"/>
    <w:semiHidden/>
    <w:rsid w:val="009B363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9B363D"/>
    <w:rPr>
      <w:rFonts w:ascii="Arial" w:eastAsiaTheme="majorEastAsia" w:hAnsi="Arial" w:cstheme="majorBidi"/>
      <w:sz w:val="24"/>
      <w:szCs w:val="24"/>
    </w:rPr>
  </w:style>
  <w:style w:type="character" w:customStyle="1" w:styleId="Heading4Char">
    <w:name w:val="Heading 4 Char"/>
    <w:basedOn w:val="DefaultParagraphFont"/>
    <w:link w:val="Heading4"/>
    <w:uiPriority w:val="9"/>
    <w:semiHidden/>
    <w:rsid w:val="009B363D"/>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B363D"/>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B363D"/>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B363D"/>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B36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363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B363D"/>
    <w:pPr>
      <w:numPr>
        <w:numId w:val="2"/>
      </w:numPr>
      <w:spacing w:after="0" w:line="240" w:lineRule="auto"/>
      <w:ind w:left="1080"/>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9B363D"/>
    <w:rPr>
      <w:rFonts w:ascii="Arial" w:eastAsiaTheme="majorEastAsia" w:hAnsi="Arial" w:cstheme="majorBidi"/>
      <w:spacing w:val="-10"/>
      <w:kern w:val="28"/>
      <w:sz w:val="24"/>
      <w:szCs w:val="56"/>
    </w:rPr>
  </w:style>
  <w:style w:type="paragraph" w:styleId="Subtitle">
    <w:name w:val="Subtitle"/>
    <w:basedOn w:val="Normal"/>
    <w:next w:val="Normal"/>
    <w:link w:val="SubtitleChar"/>
    <w:uiPriority w:val="11"/>
    <w:qFormat/>
    <w:rsid w:val="009B363D"/>
    <w:pPr>
      <w:numPr>
        <w:numId w:val="3"/>
      </w:numPr>
      <w:spacing w:after="160"/>
    </w:pPr>
    <w:rPr>
      <w:rFonts w:eastAsiaTheme="minorEastAsia"/>
      <w:spacing w:val="15"/>
    </w:rPr>
  </w:style>
  <w:style w:type="character" w:customStyle="1" w:styleId="SubtitleChar">
    <w:name w:val="Subtitle Char"/>
    <w:basedOn w:val="DefaultParagraphFont"/>
    <w:link w:val="Subtitle"/>
    <w:uiPriority w:val="11"/>
    <w:rsid w:val="009B363D"/>
    <w:rPr>
      <w:rFonts w:ascii="Arial" w:eastAsiaTheme="minorEastAsia" w:hAnsi="Arial"/>
      <w:spacing w:val="15"/>
      <w:sz w:val="24"/>
    </w:rPr>
  </w:style>
  <w:style w:type="paragraph" w:styleId="BodyText">
    <w:name w:val="Body Text"/>
    <w:basedOn w:val="Normal"/>
    <w:link w:val="BodyTextChar"/>
    <w:uiPriority w:val="1"/>
    <w:qFormat/>
    <w:rsid w:val="009B363D"/>
    <w:pPr>
      <w:widowControl w:val="0"/>
      <w:autoSpaceDE w:val="0"/>
      <w:autoSpaceDN w:val="0"/>
      <w:spacing w:after="0" w:line="240" w:lineRule="auto"/>
    </w:pPr>
    <w:rPr>
      <w:rFonts w:ascii="Times New Roman" w:eastAsia="Times New Roman" w:hAnsi="Times New Roman" w:cs="Times New Roman"/>
      <w:szCs w:val="24"/>
      <w:lang w:bidi="en-US"/>
    </w:rPr>
  </w:style>
  <w:style w:type="character" w:customStyle="1" w:styleId="BodyTextChar">
    <w:name w:val="Body Text Char"/>
    <w:basedOn w:val="DefaultParagraphFont"/>
    <w:link w:val="BodyText"/>
    <w:uiPriority w:val="1"/>
    <w:rsid w:val="009B363D"/>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9B363D"/>
    <w:pPr>
      <w:widowControl w:val="0"/>
      <w:numPr>
        <w:numId w:val="10"/>
      </w:numPr>
      <w:autoSpaceDE w:val="0"/>
      <w:autoSpaceDN w:val="0"/>
      <w:spacing w:before="120" w:after="120" w:line="240" w:lineRule="auto"/>
    </w:pPr>
    <w:rPr>
      <w:rFonts w:ascii="Times New Roman" w:eastAsia="Times New Roman" w:hAnsi="Times New Roman" w:cs="Times New Roman"/>
      <w:lang w:bidi="en-US"/>
    </w:rPr>
  </w:style>
  <w:style w:type="paragraph" w:styleId="Footer">
    <w:name w:val="footer"/>
    <w:basedOn w:val="Normal"/>
    <w:link w:val="FooterChar"/>
    <w:uiPriority w:val="99"/>
    <w:unhideWhenUsed/>
    <w:rsid w:val="009B363D"/>
    <w:pPr>
      <w:widowControl w:val="0"/>
      <w:tabs>
        <w:tab w:val="center" w:pos="4680"/>
        <w:tab w:val="right" w:pos="9360"/>
      </w:tabs>
      <w:autoSpaceDE w:val="0"/>
      <w:autoSpaceDN w:val="0"/>
      <w:spacing w:after="0" w:line="240" w:lineRule="auto"/>
    </w:pPr>
    <w:rPr>
      <w:rFonts w:ascii="Times New Roman" w:eastAsia="Times New Roman" w:hAnsi="Times New Roman" w:cs="Times New Roman"/>
      <w:sz w:val="22"/>
      <w:lang w:bidi="en-US"/>
    </w:rPr>
  </w:style>
  <w:style w:type="character" w:customStyle="1" w:styleId="FooterChar">
    <w:name w:val="Footer Char"/>
    <w:basedOn w:val="DefaultParagraphFont"/>
    <w:link w:val="Footer"/>
    <w:uiPriority w:val="99"/>
    <w:rsid w:val="009B363D"/>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E10DA3"/>
    <w:rPr>
      <w:sz w:val="16"/>
      <w:szCs w:val="16"/>
    </w:rPr>
  </w:style>
  <w:style w:type="paragraph" w:styleId="CommentText">
    <w:name w:val="annotation text"/>
    <w:basedOn w:val="Normal"/>
    <w:link w:val="CommentTextChar"/>
    <w:uiPriority w:val="99"/>
    <w:semiHidden/>
    <w:unhideWhenUsed/>
    <w:rsid w:val="00E10DA3"/>
    <w:pPr>
      <w:spacing w:line="240" w:lineRule="auto"/>
    </w:pPr>
    <w:rPr>
      <w:sz w:val="20"/>
      <w:szCs w:val="20"/>
    </w:rPr>
  </w:style>
  <w:style w:type="character" w:customStyle="1" w:styleId="CommentTextChar">
    <w:name w:val="Comment Text Char"/>
    <w:basedOn w:val="DefaultParagraphFont"/>
    <w:link w:val="CommentText"/>
    <w:uiPriority w:val="99"/>
    <w:semiHidden/>
    <w:rsid w:val="00E10D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0DA3"/>
    <w:rPr>
      <w:b/>
      <w:bCs/>
    </w:rPr>
  </w:style>
  <w:style w:type="character" w:customStyle="1" w:styleId="CommentSubjectChar">
    <w:name w:val="Comment Subject Char"/>
    <w:basedOn w:val="CommentTextChar"/>
    <w:link w:val="CommentSubject"/>
    <w:uiPriority w:val="99"/>
    <w:semiHidden/>
    <w:rsid w:val="00E10DA3"/>
    <w:rPr>
      <w:rFonts w:ascii="Arial" w:hAnsi="Arial"/>
      <w:b/>
      <w:bCs/>
      <w:sz w:val="20"/>
      <w:szCs w:val="20"/>
    </w:rPr>
  </w:style>
  <w:style w:type="character" w:styleId="Hyperlink">
    <w:name w:val="Hyperlink"/>
    <w:basedOn w:val="DefaultParagraphFont"/>
    <w:uiPriority w:val="99"/>
    <w:unhideWhenUsed/>
    <w:rsid w:val="0042751C"/>
    <w:rPr>
      <w:color w:val="0000FF" w:themeColor="hyperlink"/>
      <w:u w:val="single"/>
    </w:rPr>
  </w:style>
  <w:style w:type="character" w:styleId="UnresolvedMention">
    <w:name w:val="Unresolved Mention"/>
    <w:basedOn w:val="DefaultParagraphFont"/>
    <w:uiPriority w:val="99"/>
    <w:semiHidden/>
    <w:unhideWhenUsed/>
    <w:rsid w:val="0042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2047</Words>
  <Characters>10400</Characters>
  <Application>Microsoft Office Word</Application>
  <DocSecurity>0</DocSecurity>
  <Lines>335</Lines>
  <Paragraphs>128</Paragraphs>
  <ScaleCrop>false</ScaleCrop>
  <HeadingPairs>
    <vt:vector size="2" baseType="variant">
      <vt:variant>
        <vt:lpstr>Title</vt:lpstr>
      </vt:variant>
      <vt:variant>
        <vt:i4>1</vt:i4>
      </vt:variant>
    </vt:vector>
  </HeadingPairs>
  <TitlesOfParts>
    <vt:vector size="1" baseType="lpstr">
      <vt:lpstr/>
    </vt:vector>
  </TitlesOfParts>
  <Company>US Courts COD</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Dolan</dc:creator>
  <cp:keywords/>
  <dc:description/>
  <cp:lastModifiedBy>Mairead Dolan</cp:lastModifiedBy>
  <cp:revision>2</cp:revision>
  <dcterms:created xsi:type="dcterms:W3CDTF">2022-07-01T16:16:00Z</dcterms:created>
  <dcterms:modified xsi:type="dcterms:W3CDTF">2022-07-01T16:16:00Z</dcterms:modified>
</cp:coreProperties>
</file>